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9A" w:rsidRPr="00EC7EE9" w:rsidRDefault="005D579A" w:rsidP="005D579A">
      <w:pPr>
        <w:jc w:val="center"/>
        <w:rPr>
          <w:b/>
          <w:color w:val="FF0000"/>
          <w:sz w:val="32"/>
          <w:szCs w:val="28"/>
        </w:rPr>
      </w:pPr>
      <w:r w:rsidRPr="00EC7EE9">
        <w:rPr>
          <w:b/>
          <w:sz w:val="32"/>
          <w:szCs w:val="28"/>
        </w:rPr>
        <w:t>SADD (Solidarité et Action pour le Développement Durable)</w:t>
      </w:r>
    </w:p>
    <w:p w:rsidR="005D579A" w:rsidRPr="00DA2EC9" w:rsidRDefault="005D579A" w:rsidP="005D579A">
      <w:pPr>
        <w:jc w:val="center"/>
        <w:rPr>
          <w:b/>
          <w:sz w:val="26"/>
          <w:szCs w:val="24"/>
          <w:u w:val="single"/>
        </w:rPr>
      </w:pPr>
      <w:r>
        <w:rPr>
          <w:b/>
          <w:sz w:val="26"/>
          <w:szCs w:val="24"/>
          <w:u w:val="single"/>
        </w:rPr>
        <w:t xml:space="preserve">CONFERENCE </w:t>
      </w:r>
      <w:r w:rsidRPr="00DA2EC9">
        <w:rPr>
          <w:b/>
          <w:sz w:val="26"/>
          <w:szCs w:val="24"/>
          <w:u w:val="single"/>
        </w:rPr>
        <w:t>DE PRESSE</w:t>
      </w:r>
    </w:p>
    <w:p w:rsidR="005D579A" w:rsidRPr="00DA2EC9" w:rsidRDefault="005D579A" w:rsidP="005D579A">
      <w:pPr>
        <w:jc w:val="center"/>
        <w:rPr>
          <w:b/>
          <w:sz w:val="26"/>
          <w:szCs w:val="24"/>
          <w:u w:val="single"/>
        </w:rPr>
      </w:pPr>
      <w:r>
        <w:rPr>
          <w:b/>
          <w:sz w:val="26"/>
          <w:szCs w:val="24"/>
          <w:u w:val="single"/>
        </w:rPr>
        <w:t xml:space="preserve">DECLARATION LIMINAIRE SUR LES </w:t>
      </w:r>
      <w:r w:rsidRPr="00DA2EC9">
        <w:rPr>
          <w:b/>
          <w:sz w:val="26"/>
          <w:szCs w:val="24"/>
          <w:u w:val="single"/>
        </w:rPr>
        <w:t xml:space="preserve">ELECTIONS LOCALES </w:t>
      </w:r>
      <w:r>
        <w:rPr>
          <w:b/>
          <w:sz w:val="26"/>
          <w:szCs w:val="24"/>
          <w:u w:val="single"/>
        </w:rPr>
        <w:t xml:space="preserve">DE </w:t>
      </w:r>
      <w:r w:rsidRPr="00DA2EC9">
        <w:rPr>
          <w:b/>
          <w:sz w:val="26"/>
          <w:szCs w:val="24"/>
          <w:u w:val="single"/>
        </w:rPr>
        <w:t>2019 AU TOGO</w:t>
      </w:r>
    </w:p>
    <w:p w:rsidR="005D579A" w:rsidRPr="00126998" w:rsidRDefault="005D579A" w:rsidP="005D579A">
      <w:pPr>
        <w:pStyle w:val="Paragraphedeliste"/>
        <w:numPr>
          <w:ilvl w:val="0"/>
          <w:numId w:val="3"/>
        </w:numPr>
        <w:jc w:val="both"/>
        <w:rPr>
          <w:rFonts w:eastAsia="Times New Roman" w:cs="Times New Roman"/>
          <w:b/>
          <w:bCs/>
          <w:color w:val="000000"/>
          <w:sz w:val="26"/>
          <w:szCs w:val="24"/>
          <w:lang w:eastAsia="fr-FR"/>
        </w:rPr>
      </w:pPr>
      <w:r w:rsidRPr="00126998">
        <w:rPr>
          <w:rFonts w:eastAsia="Times New Roman" w:cs="Times New Roman"/>
          <w:b/>
          <w:bCs/>
          <w:color w:val="000000"/>
          <w:sz w:val="26"/>
          <w:szCs w:val="24"/>
          <w:lang w:eastAsia="fr-FR"/>
        </w:rPr>
        <w:t>CONTEXTE</w:t>
      </w:r>
    </w:p>
    <w:p w:rsidR="005D579A" w:rsidRDefault="005D579A" w:rsidP="005D579A">
      <w:pPr>
        <w:jc w:val="both"/>
        <w:rPr>
          <w:rFonts w:ascii="Times New Roman" w:hAnsi="Times New Roman" w:cs="Times New Roman"/>
          <w:sz w:val="24"/>
          <w:szCs w:val="24"/>
        </w:rPr>
      </w:pPr>
      <w:r w:rsidRPr="005B5336">
        <w:rPr>
          <w:rFonts w:ascii="Times New Roman" w:eastAsia="Times New Roman" w:hAnsi="Times New Roman" w:cs="Times New Roman"/>
          <w:bCs/>
          <w:color w:val="000000"/>
          <w:sz w:val="24"/>
          <w:szCs w:val="24"/>
          <w:lang w:eastAsia="fr-FR"/>
        </w:rPr>
        <w:t>Le scrutin des élections locales, les premières depuis 32 ans s’est tenu le 30 juin 2019 sur toute l’étendue du territoire national.</w:t>
      </w:r>
      <w:r w:rsidRPr="005B5336">
        <w:rPr>
          <w:rFonts w:ascii="Times New Roman" w:hAnsi="Times New Roman" w:cs="Times New Roman"/>
          <w:sz w:val="24"/>
          <w:szCs w:val="24"/>
        </w:rPr>
        <w:t xml:space="preserve"> </w:t>
      </w:r>
      <w:r>
        <w:rPr>
          <w:rFonts w:ascii="Times New Roman" w:hAnsi="Times New Roman" w:cs="Times New Roman"/>
          <w:sz w:val="24"/>
          <w:szCs w:val="24"/>
        </w:rPr>
        <w:t xml:space="preserve">Solidarité et Action pour le Développement Durable après avoir réalisé un suivi indépendant par son dispositif de Regard Citoyen a jugé utile de présenter son analyse du processus électoral notamment celle des élections locales du 30 juin 2019 en termes de contribution pour </w:t>
      </w:r>
      <w:r w:rsidR="00371711">
        <w:rPr>
          <w:rFonts w:ascii="Times New Roman" w:hAnsi="Times New Roman" w:cs="Times New Roman"/>
          <w:sz w:val="24"/>
          <w:szCs w:val="24"/>
        </w:rPr>
        <w:t xml:space="preserve">des </w:t>
      </w:r>
      <w:r>
        <w:rPr>
          <w:rFonts w:ascii="Times New Roman" w:hAnsi="Times New Roman" w:cs="Times New Roman"/>
          <w:sz w:val="24"/>
          <w:szCs w:val="24"/>
        </w:rPr>
        <w:t>élections libres et transparentes pour les prochaines échéances électorales au Togo.</w:t>
      </w:r>
    </w:p>
    <w:p w:rsidR="005D579A" w:rsidRPr="000D63EC" w:rsidRDefault="005D579A" w:rsidP="005D579A">
      <w:pPr>
        <w:jc w:val="both"/>
        <w:rPr>
          <w:rFonts w:ascii="Times New Roman" w:hAnsi="Times New Roman" w:cs="Times New Roman"/>
          <w:sz w:val="24"/>
          <w:szCs w:val="24"/>
        </w:rPr>
      </w:pPr>
      <w:r w:rsidRPr="000D63EC">
        <w:rPr>
          <w:rFonts w:ascii="Times New Roman" w:hAnsi="Times New Roman" w:cs="Times New Roman"/>
          <w:sz w:val="24"/>
          <w:szCs w:val="24"/>
        </w:rPr>
        <w:t>Avec l’organisation des manifestations publique</w:t>
      </w:r>
      <w:r w:rsidR="00371711">
        <w:rPr>
          <w:rFonts w:ascii="Times New Roman" w:hAnsi="Times New Roman" w:cs="Times New Roman"/>
          <w:sz w:val="24"/>
          <w:szCs w:val="24"/>
        </w:rPr>
        <w:t>s</w:t>
      </w:r>
      <w:r w:rsidRPr="000D63EC">
        <w:rPr>
          <w:rFonts w:ascii="Times New Roman" w:hAnsi="Times New Roman" w:cs="Times New Roman"/>
          <w:sz w:val="24"/>
          <w:szCs w:val="24"/>
        </w:rPr>
        <w:t xml:space="preserve"> dans plusieurs villes</w:t>
      </w:r>
      <w:r>
        <w:rPr>
          <w:rFonts w:ascii="Times New Roman" w:hAnsi="Times New Roman" w:cs="Times New Roman"/>
          <w:sz w:val="24"/>
          <w:szCs w:val="24"/>
        </w:rPr>
        <w:t xml:space="preserve"> du Togo</w:t>
      </w:r>
      <w:r w:rsidRPr="000D63EC">
        <w:rPr>
          <w:rFonts w:ascii="Times New Roman" w:hAnsi="Times New Roman" w:cs="Times New Roman"/>
          <w:sz w:val="24"/>
          <w:szCs w:val="24"/>
        </w:rPr>
        <w:t xml:space="preserve"> suite à l’appel du 19 août 2017 du Parti National Panafricain (PNP) et </w:t>
      </w:r>
      <w:r w:rsidR="003536C6">
        <w:rPr>
          <w:rFonts w:ascii="Times New Roman" w:hAnsi="Times New Roman" w:cs="Times New Roman"/>
          <w:sz w:val="24"/>
          <w:szCs w:val="24"/>
        </w:rPr>
        <w:t>la naissance de la coalition de quatorze</w:t>
      </w:r>
      <w:r w:rsidRPr="000D63EC">
        <w:rPr>
          <w:rFonts w:ascii="Times New Roman" w:hAnsi="Times New Roman" w:cs="Times New Roman"/>
          <w:sz w:val="24"/>
          <w:szCs w:val="24"/>
        </w:rPr>
        <w:t xml:space="preserve"> partis d’opposition dénommé C14, avec comme revendications principales : les réformes institutionnelles (cour constitutionnelle, cour des compte</w:t>
      </w:r>
      <w:r w:rsidR="00371711">
        <w:rPr>
          <w:rFonts w:ascii="Times New Roman" w:hAnsi="Times New Roman" w:cs="Times New Roman"/>
          <w:sz w:val="24"/>
          <w:szCs w:val="24"/>
        </w:rPr>
        <w:t>s</w:t>
      </w:r>
      <w:r w:rsidRPr="000D63EC">
        <w:rPr>
          <w:rFonts w:ascii="Times New Roman" w:hAnsi="Times New Roman" w:cs="Times New Roman"/>
          <w:sz w:val="24"/>
          <w:szCs w:val="24"/>
        </w:rPr>
        <w:t>, HAAC, CENI etc...)</w:t>
      </w:r>
      <w:r w:rsidR="003536C6">
        <w:rPr>
          <w:rFonts w:ascii="Times New Roman" w:hAnsi="Times New Roman" w:cs="Times New Roman"/>
          <w:sz w:val="24"/>
          <w:szCs w:val="24"/>
        </w:rPr>
        <w:t>,</w:t>
      </w:r>
      <w:r w:rsidRPr="000D63EC">
        <w:rPr>
          <w:rFonts w:ascii="Times New Roman" w:hAnsi="Times New Roman" w:cs="Times New Roman"/>
          <w:sz w:val="24"/>
          <w:szCs w:val="24"/>
        </w:rPr>
        <w:t xml:space="preserve"> et constitutionnelles (retour à la constitution de 1992, le mode scrutin universel à 2 tours, mandat présidentiel de 5 ans renouvelable une fois, l’organisation </w:t>
      </w:r>
      <w:r>
        <w:rPr>
          <w:rFonts w:ascii="Times New Roman" w:hAnsi="Times New Roman" w:cs="Times New Roman"/>
          <w:sz w:val="24"/>
          <w:szCs w:val="24"/>
        </w:rPr>
        <w:t xml:space="preserve">des élections locales), </w:t>
      </w:r>
      <w:r w:rsidRPr="000D63EC">
        <w:rPr>
          <w:rFonts w:ascii="Times New Roman" w:hAnsi="Times New Roman" w:cs="Times New Roman"/>
          <w:sz w:val="24"/>
          <w:szCs w:val="24"/>
        </w:rPr>
        <w:t>la conférence des Chef</w:t>
      </w:r>
      <w:r w:rsidR="00371711">
        <w:rPr>
          <w:rFonts w:ascii="Times New Roman" w:hAnsi="Times New Roman" w:cs="Times New Roman"/>
          <w:sz w:val="24"/>
          <w:szCs w:val="24"/>
        </w:rPr>
        <w:t>s</w:t>
      </w:r>
      <w:r w:rsidRPr="000D63EC">
        <w:rPr>
          <w:rFonts w:ascii="Times New Roman" w:hAnsi="Times New Roman" w:cs="Times New Roman"/>
          <w:sz w:val="24"/>
          <w:szCs w:val="24"/>
        </w:rPr>
        <w:t xml:space="preserve"> d’Etat et de gouverne</w:t>
      </w:r>
      <w:r w:rsidR="00371711">
        <w:rPr>
          <w:rFonts w:ascii="Times New Roman" w:hAnsi="Times New Roman" w:cs="Times New Roman"/>
          <w:sz w:val="24"/>
          <w:szCs w:val="24"/>
        </w:rPr>
        <w:t>me</w:t>
      </w:r>
      <w:r w:rsidRPr="000D63EC">
        <w:rPr>
          <w:rFonts w:ascii="Times New Roman" w:hAnsi="Times New Roman" w:cs="Times New Roman"/>
          <w:sz w:val="24"/>
          <w:szCs w:val="24"/>
        </w:rPr>
        <w:t xml:space="preserve">nt de la CEDEAO s’est réunie </w:t>
      </w:r>
      <w:r w:rsidR="00371711">
        <w:rPr>
          <w:rFonts w:ascii="Times New Roman" w:hAnsi="Times New Roman" w:cs="Times New Roman"/>
          <w:sz w:val="24"/>
          <w:szCs w:val="24"/>
        </w:rPr>
        <w:t xml:space="preserve">le </w:t>
      </w:r>
      <w:r w:rsidRPr="000D63EC">
        <w:rPr>
          <w:rFonts w:ascii="Times New Roman" w:hAnsi="Times New Roman" w:cs="Times New Roman"/>
          <w:sz w:val="24"/>
          <w:szCs w:val="24"/>
        </w:rPr>
        <w:t>31 juillet à Lomé pour statuer définitivement sur la crise togolaise</w:t>
      </w:r>
      <w:r>
        <w:rPr>
          <w:rFonts w:ascii="Times New Roman" w:hAnsi="Times New Roman" w:cs="Times New Roman"/>
          <w:sz w:val="24"/>
          <w:szCs w:val="24"/>
        </w:rPr>
        <w:t>. Ainsi une</w:t>
      </w:r>
      <w:r w:rsidRPr="000D63EC">
        <w:rPr>
          <w:rFonts w:ascii="Times New Roman" w:hAnsi="Times New Roman" w:cs="Times New Roman"/>
          <w:sz w:val="24"/>
          <w:szCs w:val="24"/>
        </w:rPr>
        <w:t xml:space="preserve"> feuille de route contenait des recommandations  relatives au consensus sur les réformes institutionnelles et constitutionnelles, à l’organisation des élections législative</w:t>
      </w:r>
      <w:r>
        <w:rPr>
          <w:rFonts w:ascii="Times New Roman" w:hAnsi="Times New Roman" w:cs="Times New Roman"/>
          <w:sz w:val="24"/>
          <w:szCs w:val="24"/>
        </w:rPr>
        <w:t>s</w:t>
      </w:r>
      <w:r w:rsidRPr="000D63EC">
        <w:rPr>
          <w:rFonts w:ascii="Times New Roman" w:hAnsi="Times New Roman" w:cs="Times New Roman"/>
          <w:sz w:val="24"/>
          <w:szCs w:val="24"/>
        </w:rPr>
        <w:t xml:space="preserve"> et locale</w:t>
      </w:r>
      <w:r>
        <w:rPr>
          <w:rFonts w:ascii="Times New Roman" w:hAnsi="Times New Roman" w:cs="Times New Roman"/>
          <w:sz w:val="24"/>
          <w:szCs w:val="24"/>
        </w:rPr>
        <w:t>s</w:t>
      </w:r>
      <w:r w:rsidRPr="000D63EC">
        <w:rPr>
          <w:rFonts w:ascii="Times New Roman" w:hAnsi="Times New Roman" w:cs="Times New Roman"/>
          <w:sz w:val="24"/>
          <w:szCs w:val="24"/>
        </w:rPr>
        <w:t xml:space="preserve"> libres et transparentes, aux mesures d’apaisement effectives, et </w:t>
      </w:r>
      <w:r w:rsidR="00371711">
        <w:rPr>
          <w:rFonts w:ascii="Times New Roman" w:hAnsi="Times New Roman" w:cs="Times New Roman"/>
          <w:sz w:val="24"/>
          <w:szCs w:val="24"/>
        </w:rPr>
        <w:t xml:space="preserve">au </w:t>
      </w:r>
      <w:r w:rsidRPr="000D63EC">
        <w:rPr>
          <w:rFonts w:ascii="Times New Roman" w:hAnsi="Times New Roman" w:cs="Times New Roman"/>
          <w:sz w:val="24"/>
          <w:szCs w:val="24"/>
        </w:rPr>
        <w:t>respect des libertés fondamentales : liberté de manifestation, d’expression, protection des d</w:t>
      </w:r>
      <w:r>
        <w:rPr>
          <w:rFonts w:ascii="Times New Roman" w:hAnsi="Times New Roman" w:cs="Times New Roman"/>
          <w:sz w:val="24"/>
          <w:szCs w:val="24"/>
        </w:rPr>
        <w:t>éfenseurs des droits de l’Homme a été adoptée pour être mise en œuvre de façon consensuelle.</w:t>
      </w:r>
    </w:p>
    <w:p w:rsidR="005D579A" w:rsidRDefault="005D579A" w:rsidP="005D579A">
      <w:pPr>
        <w:jc w:val="both"/>
        <w:rPr>
          <w:sz w:val="26"/>
          <w:szCs w:val="24"/>
        </w:rPr>
      </w:pPr>
      <w:r w:rsidRPr="005B5336">
        <w:rPr>
          <w:rFonts w:ascii="Times New Roman" w:hAnsi="Times New Roman" w:cs="Times New Roman"/>
          <w:sz w:val="24"/>
          <w:szCs w:val="24"/>
        </w:rPr>
        <w:t>La constitution de 1992 révisé</w:t>
      </w:r>
      <w:r w:rsidR="00371711">
        <w:rPr>
          <w:rFonts w:ascii="Times New Roman" w:hAnsi="Times New Roman" w:cs="Times New Roman"/>
          <w:sz w:val="24"/>
          <w:szCs w:val="24"/>
        </w:rPr>
        <w:t>e</w:t>
      </w:r>
      <w:r w:rsidRPr="005B5336">
        <w:rPr>
          <w:rFonts w:ascii="Times New Roman" w:hAnsi="Times New Roman" w:cs="Times New Roman"/>
          <w:sz w:val="24"/>
          <w:szCs w:val="24"/>
        </w:rPr>
        <w:t xml:space="preserve"> en 2002 a consacré en son article 141 une décentralisation à trois niveaux en sti</w:t>
      </w:r>
      <w:r w:rsidR="00371711">
        <w:rPr>
          <w:rFonts w:ascii="Times New Roman" w:hAnsi="Times New Roman" w:cs="Times New Roman"/>
          <w:sz w:val="24"/>
          <w:szCs w:val="24"/>
        </w:rPr>
        <w:t>pulant que le territoire de la R</w:t>
      </w:r>
      <w:r w:rsidRPr="005B5336">
        <w:rPr>
          <w:rFonts w:ascii="Times New Roman" w:hAnsi="Times New Roman" w:cs="Times New Roman"/>
          <w:sz w:val="24"/>
          <w:szCs w:val="24"/>
        </w:rPr>
        <w:t>épublique Togolaise est subdivisé en communes, conseils de préfecture et région</w:t>
      </w:r>
      <w:r w:rsidR="00371711">
        <w:rPr>
          <w:rFonts w:ascii="Times New Roman" w:hAnsi="Times New Roman" w:cs="Times New Roman"/>
          <w:sz w:val="24"/>
          <w:szCs w:val="24"/>
        </w:rPr>
        <w:t>s</w:t>
      </w:r>
      <w:r w:rsidRPr="005B5336">
        <w:rPr>
          <w:rFonts w:ascii="Times New Roman" w:hAnsi="Times New Roman" w:cs="Times New Roman"/>
          <w:sz w:val="24"/>
          <w:szCs w:val="24"/>
        </w:rPr>
        <w:t>. Depuis lors, il n’y a pas eu d’évolution de sorte que les affaires publiques locales sont gérées essentiellement par le corps des préfets ainsi que les délégations spéciales qui ont été mises en place depuis 2002.</w:t>
      </w:r>
      <w:r w:rsidRPr="000D63EC">
        <w:rPr>
          <w:rFonts w:ascii="Times New Roman" w:hAnsi="Times New Roman" w:cs="Times New Roman"/>
          <w:sz w:val="24"/>
          <w:szCs w:val="24"/>
        </w:rPr>
        <w:t xml:space="preserve"> </w:t>
      </w:r>
      <w:r w:rsidRPr="005B5336">
        <w:rPr>
          <w:rFonts w:ascii="Times New Roman" w:hAnsi="Times New Roman" w:cs="Times New Roman"/>
          <w:sz w:val="24"/>
          <w:szCs w:val="24"/>
        </w:rPr>
        <w:t>Cependant des insuffisances et dysfonctionnement</w:t>
      </w:r>
      <w:r w:rsidR="00371711">
        <w:rPr>
          <w:rFonts w:ascii="Times New Roman" w:hAnsi="Times New Roman" w:cs="Times New Roman"/>
          <w:sz w:val="24"/>
          <w:szCs w:val="24"/>
        </w:rPr>
        <w:t>s</w:t>
      </w:r>
      <w:r w:rsidRPr="005B5336">
        <w:rPr>
          <w:rFonts w:ascii="Times New Roman" w:hAnsi="Times New Roman" w:cs="Times New Roman"/>
          <w:sz w:val="24"/>
          <w:szCs w:val="24"/>
        </w:rPr>
        <w:t xml:space="preserve"> sont constatés dans le fonctionnement des délégations spéciales</w:t>
      </w:r>
      <w:r>
        <w:rPr>
          <w:rFonts w:ascii="Times New Roman" w:hAnsi="Times New Roman" w:cs="Times New Roman"/>
          <w:sz w:val="24"/>
          <w:szCs w:val="24"/>
        </w:rPr>
        <w:t xml:space="preserve"> d’où l’urgence des élections locales.</w:t>
      </w:r>
    </w:p>
    <w:p w:rsidR="005D579A" w:rsidRPr="00126998" w:rsidRDefault="005D579A" w:rsidP="005D579A">
      <w:pPr>
        <w:pStyle w:val="Paragraphedeliste"/>
        <w:numPr>
          <w:ilvl w:val="0"/>
          <w:numId w:val="3"/>
        </w:numPr>
        <w:jc w:val="both"/>
        <w:rPr>
          <w:rFonts w:ascii="Times New Roman" w:hAnsi="Times New Roman" w:cs="Times New Roman"/>
          <w:b/>
          <w:sz w:val="24"/>
          <w:szCs w:val="24"/>
        </w:rPr>
      </w:pPr>
      <w:r w:rsidRPr="00126998">
        <w:rPr>
          <w:rFonts w:ascii="Times New Roman" w:hAnsi="Times New Roman" w:cs="Times New Roman"/>
          <w:b/>
          <w:sz w:val="24"/>
          <w:szCs w:val="24"/>
        </w:rPr>
        <w:t>LE DISPOSITIF DE SUIVI INDEPENDANT DE SADD</w:t>
      </w:r>
    </w:p>
    <w:p w:rsidR="005D579A" w:rsidRPr="00126998" w:rsidRDefault="005D579A" w:rsidP="005D579A">
      <w:pPr>
        <w:jc w:val="both"/>
        <w:rPr>
          <w:rFonts w:ascii="Times New Roman" w:hAnsi="Times New Roman" w:cs="Times New Roman"/>
          <w:sz w:val="24"/>
          <w:szCs w:val="24"/>
        </w:rPr>
      </w:pPr>
      <w:r w:rsidRPr="00126998">
        <w:rPr>
          <w:rFonts w:ascii="Times New Roman" w:hAnsi="Times New Roman" w:cs="Times New Roman"/>
          <w:sz w:val="24"/>
          <w:szCs w:val="24"/>
        </w:rPr>
        <w:t xml:space="preserve">Solidarité et Action pour le Développement Durable est une organisation de la société civile togolaise engagée dans le suivi électoral depuis 2005. Au cours de ce processus électoral, elle a mis en place une équipe d’observateurs de </w:t>
      </w:r>
      <w:r w:rsidRPr="00126998">
        <w:rPr>
          <w:rFonts w:ascii="Times New Roman" w:hAnsi="Times New Roman" w:cs="Times New Roman"/>
          <w:b/>
          <w:sz w:val="24"/>
          <w:szCs w:val="24"/>
        </w:rPr>
        <w:t xml:space="preserve">213 personnes </w:t>
      </w:r>
      <w:r w:rsidRPr="00126998">
        <w:rPr>
          <w:rFonts w:ascii="Times New Roman" w:hAnsi="Times New Roman" w:cs="Times New Roman"/>
          <w:sz w:val="24"/>
          <w:szCs w:val="24"/>
        </w:rPr>
        <w:t xml:space="preserve">qui sont restés dans un dispositif du regard citoyen </w:t>
      </w:r>
      <w:r w:rsidR="003536C6">
        <w:rPr>
          <w:rFonts w:ascii="Times New Roman" w:hAnsi="Times New Roman" w:cs="Times New Roman"/>
          <w:sz w:val="24"/>
          <w:szCs w:val="24"/>
        </w:rPr>
        <w:t xml:space="preserve">pour regarder </w:t>
      </w:r>
      <w:r w:rsidRPr="00126998">
        <w:rPr>
          <w:rFonts w:ascii="Times New Roman" w:hAnsi="Times New Roman" w:cs="Times New Roman"/>
          <w:sz w:val="24"/>
          <w:szCs w:val="24"/>
        </w:rPr>
        <w:t>tout simplement</w:t>
      </w:r>
      <w:r w:rsidR="00371711">
        <w:rPr>
          <w:rFonts w:ascii="Times New Roman" w:hAnsi="Times New Roman" w:cs="Times New Roman"/>
          <w:sz w:val="24"/>
          <w:szCs w:val="24"/>
        </w:rPr>
        <w:t xml:space="preserve"> ce qui se passe</w:t>
      </w:r>
      <w:r w:rsidRPr="00126998">
        <w:rPr>
          <w:rFonts w:ascii="Times New Roman" w:hAnsi="Times New Roman" w:cs="Times New Roman"/>
          <w:sz w:val="24"/>
          <w:szCs w:val="24"/>
        </w:rPr>
        <w:t xml:space="preserve"> dans leur environnement immédiat, sans perturber le bon déroulement de la campagne et du scrutin jusqu’au dépouillement en bons citoyens avertis dans leur rôle de suivi des politiques publiques ou de contrôle citoyen de l’Action publique.</w:t>
      </w:r>
    </w:p>
    <w:p w:rsidR="005D579A" w:rsidRPr="00126998" w:rsidRDefault="005D579A" w:rsidP="005D579A">
      <w:pPr>
        <w:jc w:val="both"/>
        <w:rPr>
          <w:rFonts w:ascii="Times New Roman" w:hAnsi="Times New Roman" w:cs="Times New Roman"/>
          <w:sz w:val="24"/>
          <w:szCs w:val="24"/>
        </w:rPr>
      </w:pPr>
      <w:r w:rsidRPr="00126998">
        <w:rPr>
          <w:rFonts w:ascii="Times New Roman" w:hAnsi="Times New Roman" w:cs="Times New Roman"/>
          <w:sz w:val="24"/>
          <w:szCs w:val="24"/>
        </w:rPr>
        <w:lastRenderedPageBreak/>
        <w:t>Le but de ce suivi indépendant des élections par SADD est de contribuer non seulement à la production d’analyses objectives et non partisanes du processus électoral et des résultats des élections au Togo, mais aussi de contribuer à garantir la transparence des élections, l’observation des élections par la société civile</w:t>
      </w:r>
      <w:r w:rsidR="003536C6">
        <w:rPr>
          <w:rFonts w:ascii="Times New Roman" w:hAnsi="Times New Roman" w:cs="Times New Roman"/>
          <w:sz w:val="24"/>
          <w:szCs w:val="24"/>
        </w:rPr>
        <w:t>, l’observation</w:t>
      </w:r>
      <w:r w:rsidRPr="00126998">
        <w:rPr>
          <w:rFonts w:ascii="Times New Roman" w:hAnsi="Times New Roman" w:cs="Times New Roman"/>
          <w:sz w:val="24"/>
          <w:szCs w:val="24"/>
        </w:rPr>
        <w:t xml:space="preserve"> étant un des critères fondamentaux de la transparence consacré</w:t>
      </w:r>
      <w:r w:rsidRPr="00126998">
        <w:rPr>
          <w:rFonts w:ascii="Times New Roman" w:hAnsi="Times New Roman" w:cs="Times New Roman"/>
          <w:color w:val="FF0000"/>
          <w:sz w:val="24"/>
          <w:szCs w:val="24"/>
        </w:rPr>
        <w:t>e</w:t>
      </w:r>
      <w:r w:rsidRPr="00126998">
        <w:rPr>
          <w:rFonts w:ascii="Times New Roman" w:hAnsi="Times New Roman" w:cs="Times New Roman"/>
          <w:sz w:val="24"/>
          <w:szCs w:val="24"/>
        </w:rPr>
        <w:t xml:space="preserve"> également par l’Accord Politique Global d’août 2006 en son (Point 1.2.8).  </w:t>
      </w:r>
      <w:r w:rsidRPr="00126998">
        <w:rPr>
          <w:rFonts w:ascii="Times New Roman" w:hAnsi="Times New Roman" w:cs="Times New Roman"/>
          <w:i/>
          <w:sz w:val="24"/>
          <w:szCs w:val="24"/>
        </w:rPr>
        <w:t>« Les Parties prenantes au Dialogue s'engagent à accepter des observateurs nationaux et internationaux à tous les stades du processus électoral afin d'attester de la régularité du scrutin, ainsi que des conditions de transparence et de sécurité. Tous les observateurs devront répondre aux critères d’accréditation définis par la CENI. En outre, elles conviennent de la mise en place, au niveau des observateurs internationaux, d'une structure pluridisciplinaire d'alerte composée d'experts civils et militaires sur les questions spécifiques de sécurisation des opérations électorales </w:t>
      </w:r>
      <w:r w:rsidRPr="00126998">
        <w:rPr>
          <w:rFonts w:ascii="Times New Roman" w:hAnsi="Times New Roman" w:cs="Times New Roman"/>
          <w:sz w:val="24"/>
          <w:szCs w:val="24"/>
        </w:rPr>
        <w:t xml:space="preserve">». </w:t>
      </w:r>
    </w:p>
    <w:p w:rsidR="005D579A" w:rsidRPr="00126998" w:rsidRDefault="005D579A" w:rsidP="005D579A">
      <w:pPr>
        <w:jc w:val="both"/>
        <w:rPr>
          <w:rFonts w:ascii="Times New Roman" w:hAnsi="Times New Roman" w:cs="Times New Roman"/>
          <w:sz w:val="24"/>
          <w:szCs w:val="24"/>
        </w:rPr>
      </w:pPr>
      <w:r w:rsidRPr="00126998">
        <w:rPr>
          <w:rFonts w:ascii="Times New Roman" w:hAnsi="Times New Roman" w:cs="Times New Roman"/>
          <w:sz w:val="24"/>
          <w:szCs w:val="24"/>
        </w:rPr>
        <w:t>Cette conférence de presse veut  mettre en évidence les enjeux des élections locales, les dysfonctionnements sur les listes électorales, l’analyse de certaines</w:t>
      </w:r>
      <w:r>
        <w:rPr>
          <w:rFonts w:ascii="Times New Roman" w:hAnsi="Times New Roman" w:cs="Times New Roman"/>
          <w:sz w:val="24"/>
          <w:szCs w:val="24"/>
        </w:rPr>
        <w:t xml:space="preserve"> données en matière des chiffres</w:t>
      </w:r>
      <w:r w:rsidRPr="00126998">
        <w:rPr>
          <w:rFonts w:ascii="Times New Roman" w:hAnsi="Times New Roman" w:cs="Times New Roman"/>
          <w:sz w:val="24"/>
          <w:szCs w:val="24"/>
        </w:rPr>
        <w:t xml:space="preserve"> (SADD/Cour</w:t>
      </w:r>
      <w:r>
        <w:rPr>
          <w:rFonts w:ascii="Times New Roman" w:hAnsi="Times New Roman" w:cs="Times New Roman"/>
          <w:sz w:val="24"/>
          <w:szCs w:val="24"/>
        </w:rPr>
        <w:t xml:space="preserve"> Suprême)</w:t>
      </w:r>
      <w:r w:rsidRPr="00126998">
        <w:rPr>
          <w:rFonts w:ascii="Times New Roman" w:hAnsi="Times New Roman" w:cs="Times New Roman"/>
          <w:sz w:val="24"/>
          <w:szCs w:val="24"/>
        </w:rPr>
        <w:t xml:space="preserve"> </w:t>
      </w:r>
      <w:r>
        <w:rPr>
          <w:rFonts w:ascii="Times New Roman" w:hAnsi="Times New Roman" w:cs="Times New Roman"/>
          <w:sz w:val="24"/>
          <w:szCs w:val="24"/>
        </w:rPr>
        <w:t>et les inc</w:t>
      </w:r>
      <w:r w:rsidR="00371711">
        <w:rPr>
          <w:rFonts w:ascii="Times New Roman" w:hAnsi="Times New Roman" w:cs="Times New Roman"/>
          <w:sz w:val="24"/>
          <w:szCs w:val="24"/>
        </w:rPr>
        <w:t>ohérences qui</w:t>
      </w:r>
      <w:r w:rsidR="00371711" w:rsidRPr="0070213F">
        <w:rPr>
          <w:rFonts w:ascii="Times New Roman" w:hAnsi="Times New Roman" w:cs="Times New Roman"/>
          <w:color w:val="FF0000"/>
          <w:sz w:val="24"/>
          <w:szCs w:val="24"/>
        </w:rPr>
        <w:t xml:space="preserve"> les </w:t>
      </w:r>
      <w:r w:rsidR="00371711">
        <w:rPr>
          <w:rFonts w:ascii="Times New Roman" w:hAnsi="Times New Roman" w:cs="Times New Roman"/>
          <w:sz w:val="24"/>
          <w:szCs w:val="24"/>
        </w:rPr>
        <w:t>caractérisent</w:t>
      </w:r>
      <w:r w:rsidR="003536C6">
        <w:rPr>
          <w:rFonts w:ascii="Times New Roman" w:hAnsi="Times New Roman" w:cs="Times New Roman"/>
          <w:sz w:val="24"/>
          <w:szCs w:val="24"/>
        </w:rPr>
        <w:t>, ainsi que</w:t>
      </w:r>
      <w:r>
        <w:rPr>
          <w:rFonts w:ascii="Times New Roman" w:hAnsi="Times New Roman" w:cs="Times New Roman"/>
          <w:sz w:val="24"/>
          <w:szCs w:val="24"/>
        </w:rPr>
        <w:t xml:space="preserve"> </w:t>
      </w:r>
      <w:r w:rsidRPr="00126998">
        <w:rPr>
          <w:rFonts w:ascii="Times New Roman" w:hAnsi="Times New Roman" w:cs="Times New Roman"/>
          <w:sz w:val="24"/>
          <w:szCs w:val="24"/>
        </w:rPr>
        <w:t xml:space="preserve">le comportement des électeurs au Nord et au Sud du Togo et la transparence </w:t>
      </w:r>
      <w:r>
        <w:rPr>
          <w:rFonts w:ascii="Times New Roman" w:hAnsi="Times New Roman" w:cs="Times New Roman"/>
          <w:sz w:val="24"/>
          <w:szCs w:val="24"/>
        </w:rPr>
        <w:t xml:space="preserve">même </w:t>
      </w:r>
      <w:r w:rsidRPr="00126998">
        <w:rPr>
          <w:rFonts w:ascii="Times New Roman" w:hAnsi="Times New Roman" w:cs="Times New Roman"/>
          <w:sz w:val="24"/>
          <w:szCs w:val="24"/>
        </w:rPr>
        <w:t>des élections locales</w:t>
      </w:r>
      <w:r w:rsidR="00014179">
        <w:rPr>
          <w:rFonts w:ascii="Times New Roman" w:hAnsi="Times New Roman" w:cs="Times New Roman"/>
          <w:sz w:val="24"/>
          <w:szCs w:val="24"/>
        </w:rPr>
        <w:t xml:space="preserve"> à bien d’égards. </w:t>
      </w:r>
    </w:p>
    <w:p w:rsidR="005D579A" w:rsidRPr="00126998" w:rsidRDefault="005D579A" w:rsidP="005D579A">
      <w:pPr>
        <w:pStyle w:val="Paragraphedeliste"/>
        <w:numPr>
          <w:ilvl w:val="0"/>
          <w:numId w:val="3"/>
        </w:numPr>
        <w:rPr>
          <w:rFonts w:ascii="Times New Roman" w:hAnsi="Times New Roman" w:cs="Times New Roman"/>
          <w:b/>
          <w:sz w:val="24"/>
          <w:szCs w:val="24"/>
        </w:rPr>
      </w:pPr>
      <w:r w:rsidRPr="00126998">
        <w:rPr>
          <w:rFonts w:ascii="Times New Roman" w:hAnsi="Times New Roman" w:cs="Times New Roman"/>
          <w:b/>
          <w:sz w:val="24"/>
          <w:szCs w:val="24"/>
        </w:rPr>
        <w:t>LES ENJEUX DES ELECTIONS LOCALES</w:t>
      </w:r>
      <w:r>
        <w:rPr>
          <w:rFonts w:ascii="Times New Roman" w:hAnsi="Times New Roman" w:cs="Times New Roman"/>
          <w:b/>
          <w:sz w:val="24"/>
          <w:szCs w:val="24"/>
        </w:rPr>
        <w:t xml:space="preserve"> AU TOGO</w:t>
      </w:r>
      <w:r w:rsidR="00014179">
        <w:rPr>
          <w:rFonts w:ascii="Times New Roman" w:hAnsi="Times New Roman" w:cs="Times New Roman"/>
          <w:b/>
          <w:sz w:val="24"/>
          <w:szCs w:val="24"/>
        </w:rPr>
        <w:t xml:space="preserve"> POUR LES FORCES POLITIQUES</w:t>
      </w:r>
    </w:p>
    <w:p w:rsidR="005D579A" w:rsidRPr="00126998" w:rsidRDefault="005D579A" w:rsidP="005D579A">
      <w:pPr>
        <w:jc w:val="both"/>
        <w:rPr>
          <w:rFonts w:ascii="Times New Roman" w:hAnsi="Times New Roman" w:cs="Times New Roman"/>
          <w:sz w:val="24"/>
          <w:szCs w:val="24"/>
        </w:rPr>
      </w:pPr>
      <w:r>
        <w:rPr>
          <w:rFonts w:ascii="Times New Roman" w:hAnsi="Times New Roman" w:cs="Times New Roman"/>
          <w:sz w:val="24"/>
          <w:szCs w:val="24"/>
        </w:rPr>
        <w:t>L</w:t>
      </w:r>
      <w:r w:rsidRPr="00126998">
        <w:rPr>
          <w:rFonts w:ascii="Times New Roman" w:hAnsi="Times New Roman" w:cs="Times New Roman"/>
          <w:sz w:val="24"/>
          <w:szCs w:val="24"/>
        </w:rPr>
        <w:t>es élections municipales du 30 juin 2019  constituent une étape importante dans le renforcement de la démocratie locale</w:t>
      </w:r>
      <w:r>
        <w:rPr>
          <w:rFonts w:ascii="Times New Roman" w:hAnsi="Times New Roman" w:cs="Times New Roman"/>
          <w:sz w:val="24"/>
          <w:szCs w:val="24"/>
        </w:rPr>
        <w:t xml:space="preserve"> au Togo. Pour l</w:t>
      </w:r>
      <w:r w:rsidRPr="00126998">
        <w:rPr>
          <w:rFonts w:ascii="Times New Roman" w:hAnsi="Times New Roman" w:cs="Times New Roman"/>
          <w:sz w:val="24"/>
          <w:szCs w:val="24"/>
        </w:rPr>
        <w:t>’</w:t>
      </w:r>
      <w:r>
        <w:rPr>
          <w:rFonts w:ascii="Times New Roman" w:hAnsi="Times New Roman" w:cs="Times New Roman"/>
          <w:sz w:val="24"/>
          <w:szCs w:val="24"/>
        </w:rPr>
        <w:t>opposition Togolaise</w:t>
      </w:r>
      <w:r w:rsidR="00371711">
        <w:rPr>
          <w:rFonts w:ascii="Times New Roman" w:hAnsi="Times New Roman" w:cs="Times New Roman"/>
          <w:sz w:val="24"/>
          <w:szCs w:val="24"/>
        </w:rPr>
        <w:t>,</w:t>
      </w:r>
      <w:r w:rsidRPr="00126998">
        <w:rPr>
          <w:rFonts w:ascii="Times New Roman" w:hAnsi="Times New Roman" w:cs="Times New Roman"/>
          <w:sz w:val="24"/>
          <w:szCs w:val="24"/>
        </w:rPr>
        <w:t xml:space="preserve"> remporter quelque</w:t>
      </w:r>
      <w:r w:rsidRPr="00126998">
        <w:rPr>
          <w:rFonts w:ascii="Times New Roman" w:hAnsi="Times New Roman" w:cs="Times New Roman"/>
          <w:color w:val="FF0000"/>
          <w:sz w:val="24"/>
          <w:szCs w:val="24"/>
        </w:rPr>
        <w:t>s</w:t>
      </w:r>
      <w:r w:rsidRPr="00126998">
        <w:rPr>
          <w:rFonts w:ascii="Times New Roman" w:hAnsi="Times New Roman" w:cs="Times New Roman"/>
          <w:sz w:val="24"/>
          <w:szCs w:val="24"/>
        </w:rPr>
        <w:t xml:space="preserve"> localité</w:t>
      </w:r>
      <w:r w:rsidRPr="00126998">
        <w:rPr>
          <w:rFonts w:ascii="Times New Roman" w:hAnsi="Times New Roman" w:cs="Times New Roman"/>
          <w:color w:val="FF0000"/>
          <w:sz w:val="24"/>
          <w:szCs w:val="24"/>
        </w:rPr>
        <w:t>s</w:t>
      </w:r>
      <w:r w:rsidRPr="00126998">
        <w:rPr>
          <w:rFonts w:ascii="Times New Roman" w:hAnsi="Times New Roman" w:cs="Times New Roman"/>
          <w:sz w:val="24"/>
          <w:szCs w:val="24"/>
        </w:rPr>
        <w:t xml:space="preserve"> afin de réduire l’influence du parti au po</w:t>
      </w:r>
      <w:r>
        <w:rPr>
          <w:rFonts w:ascii="Times New Roman" w:hAnsi="Times New Roman" w:cs="Times New Roman"/>
          <w:sz w:val="24"/>
          <w:szCs w:val="24"/>
        </w:rPr>
        <w:t>uvoir, notamment</w:t>
      </w:r>
      <w:r w:rsidRPr="00126998">
        <w:rPr>
          <w:rFonts w:ascii="Times New Roman" w:hAnsi="Times New Roman" w:cs="Times New Roman"/>
          <w:sz w:val="24"/>
          <w:szCs w:val="24"/>
        </w:rPr>
        <w:t xml:space="preserve"> plusieurs mairies et refaire surface sur la scène politique après le boycott des élections législatives en</w:t>
      </w:r>
      <w:r>
        <w:rPr>
          <w:rFonts w:ascii="Times New Roman" w:hAnsi="Times New Roman" w:cs="Times New Roman"/>
          <w:sz w:val="24"/>
          <w:szCs w:val="24"/>
        </w:rPr>
        <w:t xml:space="preserve"> 2018</w:t>
      </w:r>
      <w:r w:rsidRPr="00126998">
        <w:rPr>
          <w:rFonts w:ascii="Times New Roman" w:hAnsi="Times New Roman" w:cs="Times New Roman"/>
          <w:sz w:val="24"/>
          <w:szCs w:val="24"/>
        </w:rPr>
        <w:t>.</w:t>
      </w:r>
    </w:p>
    <w:p w:rsidR="005D579A" w:rsidRPr="00126998" w:rsidRDefault="005D579A" w:rsidP="005D579A">
      <w:pPr>
        <w:jc w:val="both"/>
        <w:rPr>
          <w:rFonts w:ascii="Times New Roman" w:hAnsi="Times New Roman" w:cs="Times New Roman"/>
          <w:sz w:val="24"/>
          <w:szCs w:val="24"/>
        </w:rPr>
      </w:pPr>
      <w:r w:rsidRPr="00126998">
        <w:rPr>
          <w:rFonts w:ascii="Times New Roman" w:hAnsi="Times New Roman" w:cs="Times New Roman"/>
          <w:sz w:val="24"/>
          <w:szCs w:val="24"/>
        </w:rPr>
        <w:t>Ces élections permettront aux uns et aux autres de se faire une idée de leur positionnement sur l’échiquier politique. Il s</w:t>
      </w:r>
      <w:r>
        <w:rPr>
          <w:rFonts w:ascii="Times New Roman" w:hAnsi="Times New Roman" w:cs="Times New Roman"/>
          <w:sz w:val="24"/>
          <w:szCs w:val="24"/>
        </w:rPr>
        <w:t>’agira d’un test général</w:t>
      </w:r>
      <w:r w:rsidRPr="00126998">
        <w:rPr>
          <w:rFonts w:ascii="Times New Roman" w:hAnsi="Times New Roman" w:cs="Times New Roman"/>
          <w:sz w:val="24"/>
          <w:szCs w:val="24"/>
        </w:rPr>
        <w:t xml:space="preserve"> en vue d’un meilleur positionnement par rapport à l’élection présidentielle de 2020. L’opposition espère bien régler les problèmes de leadership entre les différents partis politiques et leurs leaders dans l’optique d’une éventuelle candidature unique. Il s’agirait d’une sorte de primaires pour la désignation du candidat unique de l’opposition et couperait court avec les discussions interminables et inutiles suscitées par cette désignation par le passé. L’opposition vise également le Sénat pour intégrer à nouveau l’appareil politique national et pouvoir se rachete</w:t>
      </w:r>
      <w:r w:rsidRPr="00126998">
        <w:rPr>
          <w:rFonts w:ascii="Times New Roman" w:hAnsi="Times New Roman" w:cs="Times New Roman"/>
          <w:color w:val="FF0000"/>
          <w:sz w:val="24"/>
          <w:szCs w:val="24"/>
        </w:rPr>
        <w:t>r</w:t>
      </w:r>
      <w:r w:rsidRPr="00126998">
        <w:rPr>
          <w:rFonts w:ascii="Times New Roman" w:hAnsi="Times New Roman" w:cs="Times New Roman"/>
          <w:sz w:val="24"/>
          <w:szCs w:val="24"/>
        </w:rPr>
        <w:t xml:space="preserve"> auprès de l’opinion publique et de la communauté internationale.</w:t>
      </w:r>
    </w:p>
    <w:p w:rsidR="005D579A" w:rsidRPr="00126998" w:rsidRDefault="005D579A" w:rsidP="005D579A">
      <w:pPr>
        <w:jc w:val="both"/>
        <w:rPr>
          <w:rFonts w:ascii="Times New Roman" w:hAnsi="Times New Roman" w:cs="Times New Roman"/>
          <w:sz w:val="24"/>
          <w:szCs w:val="24"/>
        </w:rPr>
      </w:pPr>
      <w:r w:rsidRPr="00126998">
        <w:rPr>
          <w:rFonts w:ascii="Times New Roman" w:hAnsi="Times New Roman" w:cs="Times New Roman"/>
          <w:sz w:val="24"/>
          <w:szCs w:val="24"/>
        </w:rPr>
        <w:t>Pour le parti au pouvoir, il s’agira d’évaluer son expansion territoriale dans des zones qui lui ont toujours été hostiles comme des circonscriptions</w:t>
      </w:r>
      <w:r>
        <w:rPr>
          <w:rFonts w:ascii="Times New Roman" w:hAnsi="Times New Roman" w:cs="Times New Roman"/>
          <w:sz w:val="24"/>
          <w:szCs w:val="24"/>
        </w:rPr>
        <w:t xml:space="preserve"> électorales</w:t>
      </w:r>
      <w:r w:rsidRPr="00126998">
        <w:rPr>
          <w:rFonts w:ascii="Times New Roman" w:hAnsi="Times New Roman" w:cs="Times New Roman"/>
          <w:sz w:val="24"/>
          <w:szCs w:val="24"/>
        </w:rPr>
        <w:t xml:space="preserve"> de la zone sud, notamment celles de la région maritime. L’enjeu principal à ce niveau demeurera dans la prise des sept (7) communes de la préfecture du Golfe composant le district autonome du Grand Lomé. A travers ces élections, le pouvoir veut aller vite dans la mise en place du Sénat afin de s’assurer d’une forte représentation puisqu’il reviendra aux conseils municipaux élus de désigne</w:t>
      </w:r>
      <w:r w:rsidR="00623218">
        <w:rPr>
          <w:rFonts w:ascii="Times New Roman" w:hAnsi="Times New Roman" w:cs="Times New Roman"/>
          <w:sz w:val="24"/>
          <w:szCs w:val="24"/>
        </w:rPr>
        <w:t xml:space="preserve">r les premiers sénateurs de la </w:t>
      </w:r>
      <w:r w:rsidRPr="00126998">
        <w:rPr>
          <w:rFonts w:ascii="Times New Roman" w:hAnsi="Times New Roman" w:cs="Times New Roman"/>
          <w:sz w:val="24"/>
          <w:szCs w:val="24"/>
        </w:rPr>
        <w:t>V</w:t>
      </w:r>
      <w:r w:rsidR="00623218">
        <w:rPr>
          <w:rFonts w:ascii="Times New Roman" w:hAnsi="Times New Roman" w:cs="Times New Roman"/>
          <w:sz w:val="24"/>
          <w:szCs w:val="24"/>
        </w:rPr>
        <w:t>I</w:t>
      </w:r>
      <w:r w:rsidRPr="00126998">
        <w:rPr>
          <w:rFonts w:ascii="Times New Roman" w:hAnsi="Times New Roman" w:cs="Times New Roman"/>
          <w:sz w:val="24"/>
          <w:szCs w:val="24"/>
          <w:vertAlign w:val="superscript"/>
        </w:rPr>
        <w:t>ème</w:t>
      </w:r>
      <w:r w:rsidRPr="00126998">
        <w:rPr>
          <w:rFonts w:ascii="Times New Roman" w:hAnsi="Times New Roman" w:cs="Times New Roman"/>
          <w:sz w:val="24"/>
          <w:szCs w:val="24"/>
        </w:rPr>
        <w:t xml:space="preserve">  République. Vu que ces élections s’inscrivent dans la mise en œuvre de la feuille de route de la CEDEAO, il s’agira pour le gouvernement de s’assurer une bonne image sur l’échiquier international.</w:t>
      </w:r>
    </w:p>
    <w:p w:rsidR="005D579A" w:rsidRPr="00CB2B7F" w:rsidRDefault="005D579A" w:rsidP="005D579A">
      <w:pPr>
        <w:pStyle w:val="Paragraphedeliste"/>
        <w:numPr>
          <w:ilvl w:val="0"/>
          <w:numId w:val="3"/>
        </w:numPr>
        <w:rPr>
          <w:rFonts w:ascii="Times New Roman" w:hAnsi="Times New Roman" w:cs="Times New Roman"/>
          <w:b/>
        </w:rPr>
      </w:pPr>
      <w:r w:rsidRPr="00CB2B7F">
        <w:rPr>
          <w:rFonts w:ascii="Times New Roman" w:hAnsi="Times New Roman" w:cs="Times New Roman"/>
          <w:b/>
        </w:rPr>
        <w:lastRenderedPageBreak/>
        <w:t>REGARD CITOYEN DES ELECTIONS LOCALES 2019 AU TOGO PAR SADD</w:t>
      </w:r>
    </w:p>
    <w:p w:rsidR="005D579A" w:rsidRPr="00A31C99" w:rsidRDefault="005D579A" w:rsidP="005D579A">
      <w:pPr>
        <w:jc w:val="both"/>
        <w:rPr>
          <w:rFonts w:ascii="Times New Roman" w:hAnsi="Times New Roman" w:cs="Times New Roman"/>
          <w:sz w:val="24"/>
          <w:szCs w:val="24"/>
        </w:rPr>
      </w:pPr>
      <w:r w:rsidRPr="00A31C99">
        <w:rPr>
          <w:rFonts w:ascii="Times New Roman" w:hAnsi="Times New Roman" w:cs="Times New Roman"/>
          <w:sz w:val="24"/>
          <w:szCs w:val="24"/>
        </w:rPr>
        <w:t xml:space="preserve">Le dispositif de suivi indépendant de SADD a permis de couvrir au total </w:t>
      </w:r>
      <w:r w:rsidRPr="00A31C99">
        <w:rPr>
          <w:rFonts w:ascii="Times New Roman" w:hAnsi="Times New Roman" w:cs="Times New Roman"/>
          <w:b/>
          <w:sz w:val="24"/>
          <w:szCs w:val="24"/>
        </w:rPr>
        <w:t>143</w:t>
      </w:r>
      <w:r w:rsidRPr="00A31C99">
        <w:rPr>
          <w:rFonts w:ascii="Times New Roman" w:hAnsi="Times New Roman" w:cs="Times New Roman"/>
          <w:sz w:val="24"/>
          <w:szCs w:val="24"/>
        </w:rPr>
        <w:t xml:space="preserve"> centres et </w:t>
      </w:r>
      <w:r w:rsidRPr="00A31C99">
        <w:rPr>
          <w:rFonts w:ascii="Times New Roman" w:hAnsi="Times New Roman" w:cs="Times New Roman"/>
          <w:b/>
          <w:sz w:val="24"/>
          <w:szCs w:val="24"/>
        </w:rPr>
        <w:t>296</w:t>
      </w:r>
      <w:r w:rsidRPr="00A31C99">
        <w:rPr>
          <w:rFonts w:ascii="Times New Roman" w:hAnsi="Times New Roman" w:cs="Times New Roman"/>
          <w:sz w:val="24"/>
          <w:szCs w:val="24"/>
        </w:rPr>
        <w:t xml:space="preserve"> bureaux de vote observé</w:t>
      </w:r>
      <w:r w:rsidRPr="00A31C99">
        <w:rPr>
          <w:rFonts w:ascii="Times New Roman" w:hAnsi="Times New Roman" w:cs="Times New Roman"/>
          <w:color w:val="FF0000"/>
          <w:sz w:val="24"/>
          <w:szCs w:val="24"/>
        </w:rPr>
        <w:t>s</w:t>
      </w:r>
      <w:r w:rsidRPr="00A31C99">
        <w:rPr>
          <w:rFonts w:ascii="Times New Roman" w:hAnsi="Times New Roman" w:cs="Times New Roman"/>
          <w:sz w:val="24"/>
          <w:szCs w:val="24"/>
        </w:rPr>
        <w:t xml:space="preserve"> au Nord et</w:t>
      </w:r>
      <w:r w:rsidRPr="00A31C99">
        <w:rPr>
          <w:rFonts w:ascii="Times New Roman" w:hAnsi="Times New Roman" w:cs="Times New Roman"/>
          <w:b/>
          <w:sz w:val="24"/>
          <w:szCs w:val="24"/>
        </w:rPr>
        <w:t xml:space="preserve"> 168 </w:t>
      </w:r>
      <w:r w:rsidRPr="00A31C99">
        <w:rPr>
          <w:rFonts w:ascii="Times New Roman" w:hAnsi="Times New Roman" w:cs="Times New Roman"/>
          <w:sz w:val="24"/>
          <w:szCs w:val="24"/>
        </w:rPr>
        <w:t xml:space="preserve">centres et </w:t>
      </w:r>
      <w:r w:rsidRPr="00A31C99">
        <w:rPr>
          <w:rFonts w:ascii="Times New Roman" w:hAnsi="Times New Roman" w:cs="Times New Roman"/>
          <w:b/>
          <w:sz w:val="24"/>
          <w:szCs w:val="24"/>
        </w:rPr>
        <w:t>666</w:t>
      </w:r>
      <w:r w:rsidRPr="00A31C99">
        <w:rPr>
          <w:rFonts w:ascii="Times New Roman" w:hAnsi="Times New Roman" w:cs="Times New Roman"/>
          <w:sz w:val="24"/>
          <w:szCs w:val="24"/>
        </w:rPr>
        <w:t xml:space="preserve"> bureaux de vote au Sud. Ceci représente un taux de couverture de </w:t>
      </w:r>
      <w:r w:rsidRPr="00A31C99">
        <w:rPr>
          <w:rFonts w:ascii="Times New Roman" w:hAnsi="Times New Roman" w:cs="Times New Roman"/>
          <w:b/>
          <w:sz w:val="24"/>
          <w:szCs w:val="24"/>
        </w:rPr>
        <w:t xml:space="preserve">10,68 </w:t>
      </w:r>
      <w:r w:rsidRPr="00A31C99">
        <w:rPr>
          <w:rFonts w:ascii="Times New Roman" w:hAnsi="Times New Roman" w:cs="Times New Roman"/>
          <w:sz w:val="24"/>
          <w:szCs w:val="24"/>
        </w:rPr>
        <w:t>% de bureaux de vote sur (</w:t>
      </w:r>
      <w:r w:rsidRPr="00A31C99">
        <w:rPr>
          <w:rFonts w:ascii="Times New Roman" w:hAnsi="Times New Roman" w:cs="Times New Roman"/>
          <w:b/>
          <w:sz w:val="24"/>
          <w:szCs w:val="24"/>
        </w:rPr>
        <w:t>9005</w:t>
      </w:r>
      <w:r w:rsidRPr="00A31C99">
        <w:rPr>
          <w:rFonts w:ascii="Times New Roman" w:hAnsi="Times New Roman" w:cs="Times New Roman"/>
          <w:sz w:val="24"/>
          <w:szCs w:val="24"/>
        </w:rPr>
        <w:t xml:space="preserve">) et </w:t>
      </w:r>
      <w:r w:rsidRPr="00A31C99">
        <w:rPr>
          <w:rFonts w:ascii="Times New Roman" w:hAnsi="Times New Roman" w:cs="Times New Roman"/>
          <w:b/>
          <w:sz w:val="24"/>
          <w:szCs w:val="24"/>
        </w:rPr>
        <w:t xml:space="preserve">7,05 </w:t>
      </w:r>
      <w:r w:rsidRPr="00A31C99">
        <w:rPr>
          <w:rFonts w:ascii="Times New Roman" w:hAnsi="Times New Roman" w:cs="Times New Roman"/>
          <w:sz w:val="24"/>
          <w:szCs w:val="24"/>
        </w:rPr>
        <w:t>% de centres  sur (</w:t>
      </w:r>
      <w:r w:rsidRPr="00A31C99">
        <w:rPr>
          <w:rFonts w:ascii="Times New Roman" w:hAnsi="Times New Roman" w:cs="Times New Roman"/>
          <w:b/>
          <w:sz w:val="24"/>
          <w:szCs w:val="24"/>
        </w:rPr>
        <w:t>4410</w:t>
      </w:r>
      <w:r w:rsidRPr="00A31C99">
        <w:rPr>
          <w:rFonts w:ascii="Times New Roman" w:hAnsi="Times New Roman" w:cs="Times New Roman"/>
          <w:sz w:val="24"/>
          <w:szCs w:val="24"/>
        </w:rPr>
        <w:t xml:space="preserve">) à l’échelle nationale. L’observation a porté sur un total de </w:t>
      </w:r>
      <w:r w:rsidRPr="00A31C99">
        <w:rPr>
          <w:rFonts w:ascii="Times New Roman" w:eastAsia="Times New Roman" w:hAnsi="Times New Roman" w:cs="Times New Roman"/>
          <w:b/>
          <w:bCs/>
          <w:color w:val="000000"/>
          <w:sz w:val="24"/>
          <w:szCs w:val="24"/>
          <w:lang w:eastAsia="fr-FR"/>
        </w:rPr>
        <w:t>414.083</w:t>
      </w:r>
      <w:r w:rsidRPr="00A31C99">
        <w:rPr>
          <w:rFonts w:ascii="Times New Roman" w:hAnsi="Times New Roman" w:cs="Times New Roman"/>
          <w:b/>
          <w:bCs/>
          <w:sz w:val="24"/>
          <w:szCs w:val="24"/>
        </w:rPr>
        <w:t xml:space="preserve"> </w:t>
      </w:r>
      <w:r w:rsidRPr="00A31C99">
        <w:rPr>
          <w:rFonts w:ascii="Times New Roman" w:hAnsi="Times New Roman" w:cs="Times New Roman"/>
          <w:sz w:val="24"/>
          <w:szCs w:val="24"/>
        </w:rPr>
        <w:t xml:space="preserve">inscrits et  </w:t>
      </w:r>
      <w:r w:rsidRPr="00A31C99">
        <w:rPr>
          <w:rFonts w:ascii="Times New Roman" w:eastAsia="Times New Roman" w:hAnsi="Times New Roman" w:cs="Times New Roman"/>
          <w:b/>
          <w:bCs/>
          <w:color w:val="000000"/>
          <w:sz w:val="24"/>
          <w:szCs w:val="24"/>
          <w:lang w:eastAsia="fr-FR"/>
        </w:rPr>
        <w:t>160.516</w:t>
      </w:r>
      <w:r w:rsidRPr="00A31C99">
        <w:rPr>
          <w:rFonts w:ascii="Times New Roman" w:hAnsi="Times New Roman" w:cs="Times New Roman"/>
          <w:b/>
          <w:bCs/>
          <w:sz w:val="24"/>
          <w:szCs w:val="24"/>
        </w:rPr>
        <w:t xml:space="preserve"> </w:t>
      </w:r>
      <w:r w:rsidRPr="00A31C99">
        <w:rPr>
          <w:rFonts w:ascii="Times New Roman" w:hAnsi="Times New Roman" w:cs="Times New Roman"/>
          <w:sz w:val="24"/>
          <w:szCs w:val="24"/>
        </w:rPr>
        <w:t>votants</w:t>
      </w:r>
      <w:r w:rsidR="00014179">
        <w:rPr>
          <w:rFonts w:ascii="Times New Roman" w:hAnsi="Times New Roman" w:cs="Times New Roman"/>
          <w:sz w:val="24"/>
          <w:szCs w:val="24"/>
        </w:rPr>
        <w:t>,</w:t>
      </w:r>
      <w:r w:rsidRPr="00A31C99">
        <w:rPr>
          <w:rFonts w:ascii="Times New Roman" w:hAnsi="Times New Roman" w:cs="Times New Roman"/>
          <w:sz w:val="24"/>
          <w:szCs w:val="24"/>
        </w:rPr>
        <w:t xml:space="preserve"> soit un taux de participation de</w:t>
      </w:r>
      <w:r w:rsidRPr="00A31C99">
        <w:rPr>
          <w:rFonts w:ascii="Times New Roman" w:hAnsi="Times New Roman" w:cs="Times New Roman"/>
          <w:b/>
          <w:sz w:val="24"/>
          <w:szCs w:val="24"/>
        </w:rPr>
        <w:t xml:space="preserve"> 38,76%</w:t>
      </w:r>
      <w:r w:rsidRPr="00A31C99">
        <w:rPr>
          <w:rFonts w:ascii="Times New Roman" w:hAnsi="Times New Roman" w:cs="Times New Roman"/>
          <w:b/>
          <w:bCs/>
          <w:sz w:val="24"/>
          <w:szCs w:val="24"/>
        </w:rPr>
        <w:t xml:space="preserve"> </w:t>
      </w:r>
      <w:r w:rsidRPr="00A31C99">
        <w:rPr>
          <w:rFonts w:ascii="Times New Roman" w:hAnsi="Times New Roman" w:cs="Times New Roman"/>
          <w:bCs/>
          <w:sz w:val="24"/>
          <w:szCs w:val="24"/>
        </w:rPr>
        <w:t xml:space="preserve"> et  </w:t>
      </w:r>
      <w:r w:rsidRPr="00A31C99">
        <w:rPr>
          <w:rFonts w:ascii="Times New Roman" w:hAnsi="Times New Roman" w:cs="Times New Roman"/>
          <w:sz w:val="24"/>
          <w:szCs w:val="24"/>
        </w:rPr>
        <w:t xml:space="preserve"> d’abstention de</w:t>
      </w:r>
      <w:r w:rsidRPr="00A31C99">
        <w:rPr>
          <w:rFonts w:ascii="Times New Roman" w:hAnsi="Times New Roman" w:cs="Times New Roman"/>
          <w:b/>
          <w:sz w:val="24"/>
          <w:szCs w:val="24"/>
        </w:rPr>
        <w:t xml:space="preserve"> 61,24% </w:t>
      </w:r>
      <w:r w:rsidRPr="00A31C99">
        <w:rPr>
          <w:rFonts w:ascii="Times New Roman" w:hAnsi="Times New Roman" w:cs="Times New Roman"/>
          <w:sz w:val="24"/>
          <w:szCs w:val="24"/>
        </w:rPr>
        <w:t>dans les zones couvertes. Au total trois-cent onze (</w:t>
      </w:r>
      <w:r w:rsidRPr="00A31C99">
        <w:rPr>
          <w:rFonts w:ascii="Times New Roman" w:hAnsi="Times New Roman" w:cs="Times New Roman"/>
          <w:b/>
          <w:sz w:val="24"/>
          <w:szCs w:val="24"/>
        </w:rPr>
        <w:t>311)</w:t>
      </w:r>
      <w:r w:rsidRPr="00A31C99">
        <w:rPr>
          <w:rFonts w:ascii="Times New Roman" w:hAnsi="Times New Roman" w:cs="Times New Roman"/>
          <w:sz w:val="24"/>
          <w:szCs w:val="24"/>
        </w:rPr>
        <w:t xml:space="preserve"> centres sur </w:t>
      </w:r>
      <w:r w:rsidRPr="00A31C99">
        <w:rPr>
          <w:rFonts w:ascii="Times New Roman" w:hAnsi="Times New Roman" w:cs="Times New Roman"/>
          <w:b/>
          <w:sz w:val="24"/>
          <w:szCs w:val="24"/>
        </w:rPr>
        <w:t xml:space="preserve">4410 </w:t>
      </w:r>
      <w:r w:rsidR="00014179">
        <w:rPr>
          <w:rFonts w:ascii="Times New Roman" w:hAnsi="Times New Roman" w:cs="Times New Roman"/>
          <w:sz w:val="24"/>
          <w:szCs w:val="24"/>
        </w:rPr>
        <w:t xml:space="preserve">et </w:t>
      </w:r>
      <w:r w:rsidR="00014179">
        <w:rPr>
          <w:rFonts w:ascii="Times New Roman" w:hAnsi="Times New Roman" w:cs="Times New Roman"/>
          <w:b/>
          <w:bCs/>
          <w:sz w:val="24"/>
          <w:szCs w:val="24"/>
        </w:rPr>
        <w:t>962</w:t>
      </w:r>
      <w:r w:rsidRPr="00A31C99">
        <w:rPr>
          <w:rFonts w:ascii="Times New Roman" w:hAnsi="Times New Roman" w:cs="Times New Roman"/>
          <w:sz w:val="24"/>
          <w:szCs w:val="24"/>
        </w:rPr>
        <w:t xml:space="preserve"> bureaux de vote sur </w:t>
      </w:r>
      <w:r w:rsidRPr="00A31C99">
        <w:rPr>
          <w:rFonts w:ascii="Times New Roman" w:hAnsi="Times New Roman" w:cs="Times New Roman"/>
          <w:b/>
          <w:sz w:val="24"/>
          <w:szCs w:val="24"/>
        </w:rPr>
        <w:t>9005</w:t>
      </w:r>
      <w:r w:rsidRPr="00A31C99">
        <w:rPr>
          <w:rFonts w:ascii="Times New Roman" w:hAnsi="Times New Roman" w:cs="Times New Roman"/>
          <w:sz w:val="24"/>
          <w:szCs w:val="24"/>
        </w:rPr>
        <w:t xml:space="preserve"> ont été observés sur le plan national. </w:t>
      </w:r>
    </w:p>
    <w:p w:rsidR="005D579A" w:rsidRPr="00A31C99" w:rsidRDefault="005D579A" w:rsidP="005D579A">
      <w:pPr>
        <w:jc w:val="both"/>
        <w:rPr>
          <w:rFonts w:ascii="Times New Roman" w:hAnsi="Times New Roman" w:cs="Times New Roman"/>
          <w:sz w:val="24"/>
          <w:szCs w:val="24"/>
        </w:rPr>
      </w:pPr>
      <w:r w:rsidRPr="00A31C99">
        <w:rPr>
          <w:rFonts w:ascii="Times New Roman" w:hAnsi="Times New Roman" w:cs="Times New Roman"/>
          <w:sz w:val="24"/>
          <w:szCs w:val="24"/>
        </w:rPr>
        <w:t>Ce dispositif a permis d’analyser le processus électoral avec un acc</w:t>
      </w:r>
      <w:r w:rsidR="00014179">
        <w:rPr>
          <w:rFonts w:ascii="Times New Roman" w:hAnsi="Times New Roman" w:cs="Times New Roman"/>
          <w:sz w:val="24"/>
          <w:szCs w:val="24"/>
        </w:rPr>
        <w:t>ent sur le dysfonctionnement sur l’établissement d</w:t>
      </w:r>
      <w:r w:rsidRPr="00A31C99">
        <w:rPr>
          <w:rFonts w:ascii="Times New Roman" w:hAnsi="Times New Roman" w:cs="Times New Roman"/>
          <w:sz w:val="24"/>
          <w:szCs w:val="24"/>
        </w:rPr>
        <w:t>es listes électorales, les résultats du scrutin, le comportement des électeurs et la transparence du scrutin. Un tableau récapitulatif des données résume et facilite une analyse comparative des données Cour Constitutionnelle/SADD</w:t>
      </w:r>
      <w:r w:rsidR="00014179">
        <w:rPr>
          <w:rFonts w:ascii="Times New Roman" w:hAnsi="Times New Roman" w:cs="Times New Roman"/>
          <w:sz w:val="24"/>
          <w:szCs w:val="24"/>
        </w:rPr>
        <w:t>.</w:t>
      </w:r>
    </w:p>
    <w:p w:rsidR="005D579A" w:rsidRPr="00A31C99" w:rsidRDefault="005D579A" w:rsidP="005D579A">
      <w:pPr>
        <w:jc w:val="both"/>
        <w:rPr>
          <w:b/>
          <w:sz w:val="26"/>
          <w:szCs w:val="24"/>
          <w:u w:val="single"/>
        </w:rPr>
      </w:pPr>
      <w:r>
        <w:rPr>
          <w:b/>
          <w:sz w:val="26"/>
          <w:szCs w:val="24"/>
          <w:u w:val="single"/>
        </w:rPr>
        <w:t xml:space="preserve">4.1. </w:t>
      </w:r>
      <w:r w:rsidRPr="00A31C99">
        <w:rPr>
          <w:b/>
          <w:sz w:val="26"/>
          <w:szCs w:val="24"/>
          <w:u w:val="single"/>
        </w:rPr>
        <w:t>Tableau récapitulatif d’analyse comparative de</w:t>
      </w:r>
      <w:r>
        <w:rPr>
          <w:b/>
          <w:sz w:val="26"/>
          <w:szCs w:val="24"/>
          <w:u w:val="single"/>
        </w:rPr>
        <w:t>s données Cour Suprême</w:t>
      </w:r>
      <w:r w:rsidRPr="00A31C99">
        <w:rPr>
          <w:b/>
          <w:sz w:val="26"/>
          <w:szCs w:val="24"/>
          <w:u w:val="single"/>
        </w:rPr>
        <w:t>/SADD</w:t>
      </w:r>
    </w:p>
    <w:tbl>
      <w:tblPr>
        <w:tblStyle w:val="Grilledutableau"/>
        <w:tblW w:w="9497" w:type="dxa"/>
        <w:tblLayout w:type="fixed"/>
        <w:tblLook w:val="04A0" w:firstRow="1" w:lastRow="0" w:firstColumn="1" w:lastColumn="0" w:noHBand="0" w:noVBand="1"/>
      </w:tblPr>
      <w:tblGrid>
        <w:gridCol w:w="2623"/>
        <w:gridCol w:w="1842"/>
        <w:gridCol w:w="2379"/>
        <w:gridCol w:w="2653"/>
      </w:tblGrid>
      <w:tr w:rsidR="005D579A" w:rsidRPr="005D579A" w:rsidTr="005D579A">
        <w:trPr>
          <w:trHeight w:val="577"/>
        </w:trPr>
        <w:tc>
          <w:tcPr>
            <w:tcW w:w="2623" w:type="dxa"/>
            <w:shd w:val="clear" w:color="auto" w:fill="FFC000"/>
          </w:tcPr>
          <w:p w:rsidR="005D579A" w:rsidRPr="005D579A" w:rsidRDefault="00A464A6" w:rsidP="005D579A">
            <w:pPr>
              <w:spacing w:after="0"/>
              <w:jc w:val="both"/>
              <w:rPr>
                <w:rFonts w:ascii="Times New Roman" w:hAnsi="Times New Roman" w:cs="Times New Roman"/>
                <w:b/>
                <w:sz w:val="20"/>
                <w:szCs w:val="20"/>
              </w:rPr>
            </w:pPr>
            <w:r>
              <w:rPr>
                <w:rFonts w:ascii="Times New Roman" w:hAnsi="Times New Roman" w:cs="Times New Roman"/>
                <w:b/>
                <w:sz w:val="20"/>
                <w:szCs w:val="20"/>
              </w:rPr>
              <w:t>Désignation</w:t>
            </w:r>
          </w:p>
        </w:tc>
        <w:tc>
          <w:tcPr>
            <w:tcW w:w="1842" w:type="dxa"/>
            <w:shd w:val="clear" w:color="auto" w:fill="92D050"/>
          </w:tcPr>
          <w:p w:rsidR="005D579A" w:rsidRPr="005D579A" w:rsidRDefault="005D579A" w:rsidP="005D579A">
            <w:pPr>
              <w:spacing w:after="0"/>
              <w:jc w:val="center"/>
              <w:rPr>
                <w:rFonts w:ascii="Times New Roman" w:hAnsi="Times New Roman" w:cs="Times New Roman"/>
                <w:b/>
                <w:sz w:val="20"/>
                <w:szCs w:val="20"/>
              </w:rPr>
            </w:pPr>
            <w:r w:rsidRPr="005D579A">
              <w:rPr>
                <w:rFonts w:ascii="Times New Roman" w:hAnsi="Times New Roman" w:cs="Times New Roman"/>
                <w:b/>
                <w:sz w:val="20"/>
                <w:szCs w:val="20"/>
              </w:rPr>
              <w:t>Données collectées par SADD</w:t>
            </w:r>
          </w:p>
        </w:tc>
        <w:tc>
          <w:tcPr>
            <w:tcW w:w="2379" w:type="dxa"/>
            <w:shd w:val="clear" w:color="auto" w:fill="00B0F0"/>
          </w:tcPr>
          <w:p w:rsidR="005D579A" w:rsidRPr="005D579A" w:rsidRDefault="005D579A" w:rsidP="005D579A">
            <w:pPr>
              <w:spacing w:after="0"/>
              <w:jc w:val="center"/>
              <w:rPr>
                <w:rFonts w:ascii="Times New Roman" w:hAnsi="Times New Roman" w:cs="Times New Roman"/>
                <w:b/>
                <w:sz w:val="20"/>
                <w:szCs w:val="20"/>
              </w:rPr>
            </w:pPr>
            <w:r w:rsidRPr="005D579A">
              <w:rPr>
                <w:rFonts w:ascii="Times New Roman" w:hAnsi="Times New Roman" w:cs="Times New Roman"/>
                <w:b/>
                <w:sz w:val="20"/>
                <w:szCs w:val="20"/>
              </w:rPr>
              <w:t>Données de la Cour Suprême</w:t>
            </w:r>
          </w:p>
        </w:tc>
        <w:tc>
          <w:tcPr>
            <w:tcW w:w="2653" w:type="dxa"/>
            <w:shd w:val="clear" w:color="auto" w:fill="A8D08D" w:themeFill="accent6" w:themeFillTint="99"/>
          </w:tcPr>
          <w:p w:rsidR="005D579A" w:rsidRPr="005D579A" w:rsidRDefault="005D579A" w:rsidP="005D579A">
            <w:pPr>
              <w:spacing w:after="0"/>
              <w:rPr>
                <w:rFonts w:ascii="Times New Roman" w:hAnsi="Times New Roman" w:cs="Times New Roman"/>
                <w:b/>
                <w:sz w:val="20"/>
                <w:szCs w:val="20"/>
              </w:rPr>
            </w:pPr>
            <w:r w:rsidRPr="005D579A">
              <w:rPr>
                <w:rFonts w:ascii="Times New Roman" w:hAnsi="Times New Roman" w:cs="Times New Roman"/>
                <w:b/>
                <w:sz w:val="20"/>
                <w:szCs w:val="20"/>
              </w:rPr>
              <w:t xml:space="preserve"> Pourcentage</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Nombre de centre</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bCs/>
                <w:sz w:val="20"/>
                <w:szCs w:val="20"/>
              </w:rPr>
              <w:t>311</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4410</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7,05%</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Nombre de bureau de vote</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bCs/>
                <w:sz w:val="20"/>
                <w:szCs w:val="20"/>
              </w:rPr>
              <w:t>962</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9005</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10,68%</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Inscrits</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eastAsia="Times New Roman" w:hAnsi="Times New Roman" w:cs="Times New Roman"/>
                <w:b/>
                <w:bCs/>
                <w:color w:val="000000"/>
                <w:sz w:val="20"/>
                <w:szCs w:val="20"/>
                <w:lang w:eastAsia="fr-FR"/>
              </w:rPr>
              <w:t>414.083</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3. 359 327</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12,33%</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Votants</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eastAsia="Times New Roman" w:hAnsi="Times New Roman" w:cs="Times New Roman"/>
                <w:b/>
                <w:bCs/>
                <w:color w:val="000000"/>
                <w:sz w:val="20"/>
                <w:szCs w:val="20"/>
                <w:lang w:eastAsia="fr-FR"/>
              </w:rPr>
              <w:t>160.516</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1.762 426</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9,11%</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Suffrage exprimés</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eastAsia="Times New Roman" w:hAnsi="Times New Roman" w:cs="Times New Roman"/>
                <w:b/>
                <w:bCs/>
                <w:color w:val="000000"/>
                <w:sz w:val="20"/>
                <w:szCs w:val="20"/>
                <w:lang w:eastAsia="fr-FR"/>
              </w:rPr>
              <w:t>152.312</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1.687 430</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9,03%</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Bulletins nuls</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eastAsia="Times New Roman" w:hAnsi="Times New Roman" w:cs="Times New Roman"/>
                <w:b/>
                <w:bCs/>
                <w:color w:val="000000"/>
                <w:sz w:val="20"/>
                <w:szCs w:val="20"/>
                <w:lang w:eastAsia="fr-FR"/>
              </w:rPr>
              <w:t>8204</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74.996</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10,94%</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Bulletins contestés</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eastAsia="Times New Roman" w:hAnsi="Times New Roman" w:cs="Times New Roman"/>
                <w:b/>
                <w:bCs/>
                <w:color w:val="000000"/>
                <w:sz w:val="20"/>
                <w:szCs w:val="20"/>
                <w:lang w:eastAsia="fr-FR"/>
              </w:rPr>
              <w:t>1185</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bCs/>
                <w:sz w:val="20"/>
                <w:szCs w:val="20"/>
              </w:rPr>
              <w:t>taux de participation</w:t>
            </w:r>
          </w:p>
        </w:tc>
        <w:tc>
          <w:tcPr>
            <w:tcW w:w="1842" w:type="dxa"/>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38,76%</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52,46%</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w:t>
            </w:r>
          </w:p>
        </w:tc>
      </w:tr>
      <w:tr w:rsidR="005D579A" w:rsidRPr="005D579A" w:rsidTr="000D28CA">
        <w:tc>
          <w:tcPr>
            <w:tcW w:w="2623" w:type="dxa"/>
            <w:shd w:val="clear" w:color="auto" w:fill="FFC000"/>
          </w:tcPr>
          <w:p w:rsidR="005D579A" w:rsidRPr="005D579A" w:rsidRDefault="005D579A" w:rsidP="005D579A">
            <w:pPr>
              <w:spacing w:after="0"/>
              <w:jc w:val="both"/>
              <w:rPr>
                <w:rFonts w:ascii="Times New Roman" w:hAnsi="Times New Roman" w:cs="Times New Roman"/>
                <w:b/>
                <w:bCs/>
                <w:sz w:val="20"/>
                <w:szCs w:val="20"/>
              </w:rPr>
            </w:pPr>
            <w:r w:rsidRPr="005D579A">
              <w:rPr>
                <w:rFonts w:ascii="Times New Roman" w:hAnsi="Times New Roman" w:cs="Times New Roman"/>
                <w:b/>
                <w:sz w:val="20"/>
                <w:szCs w:val="20"/>
              </w:rPr>
              <w:t>Taux d’abstention</w:t>
            </w:r>
          </w:p>
        </w:tc>
        <w:tc>
          <w:tcPr>
            <w:tcW w:w="1842" w:type="dxa"/>
            <w:tcBorders>
              <w:bottom w:val="nil"/>
            </w:tcBorders>
            <w:shd w:val="clear" w:color="auto" w:fill="92D05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61,24%</w:t>
            </w:r>
          </w:p>
        </w:tc>
        <w:tc>
          <w:tcPr>
            <w:tcW w:w="2379" w:type="dxa"/>
            <w:shd w:val="clear" w:color="auto" w:fill="00B0F0"/>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47,54%</w:t>
            </w:r>
          </w:p>
        </w:tc>
        <w:tc>
          <w:tcPr>
            <w:tcW w:w="2653" w:type="dxa"/>
            <w:shd w:val="clear" w:color="auto" w:fill="A8D08D" w:themeFill="accent6" w:themeFillTint="99"/>
          </w:tcPr>
          <w:p w:rsidR="005D579A" w:rsidRPr="005D579A" w:rsidRDefault="005D579A" w:rsidP="005D579A">
            <w:pPr>
              <w:spacing w:after="0"/>
              <w:jc w:val="right"/>
              <w:rPr>
                <w:rFonts w:ascii="Times New Roman" w:hAnsi="Times New Roman" w:cs="Times New Roman"/>
                <w:b/>
                <w:sz w:val="20"/>
                <w:szCs w:val="20"/>
              </w:rPr>
            </w:pPr>
            <w:r w:rsidRPr="005D579A">
              <w:rPr>
                <w:rFonts w:ascii="Times New Roman" w:hAnsi="Times New Roman" w:cs="Times New Roman"/>
                <w:b/>
                <w:sz w:val="20"/>
                <w:szCs w:val="20"/>
              </w:rPr>
              <w:t>-</w:t>
            </w:r>
          </w:p>
        </w:tc>
      </w:tr>
      <w:tr w:rsidR="005D579A" w:rsidRPr="005D579A" w:rsidTr="000D28CA">
        <w:tc>
          <w:tcPr>
            <w:tcW w:w="2623" w:type="dxa"/>
            <w:shd w:val="clear" w:color="auto" w:fill="FFC000"/>
          </w:tcPr>
          <w:p w:rsidR="005D579A" w:rsidRPr="005D579A" w:rsidRDefault="005D579A" w:rsidP="005D579A">
            <w:pPr>
              <w:spacing w:after="0"/>
              <w:rPr>
                <w:rFonts w:ascii="Times New Roman" w:hAnsi="Times New Roman" w:cs="Times New Roman"/>
                <w:b/>
                <w:bCs/>
                <w:sz w:val="20"/>
                <w:szCs w:val="20"/>
              </w:rPr>
            </w:pPr>
          </w:p>
          <w:p w:rsidR="005D579A" w:rsidRPr="005D579A" w:rsidRDefault="005D579A" w:rsidP="005D579A">
            <w:pPr>
              <w:spacing w:after="0"/>
              <w:jc w:val="center"/>
              <w:rPr>
                <w:rFonts w:ascii="Times New Roman" w:hAnsi="Times New Roman" w:cs="Times New Roman"/>
                <w:b/>
                <w:sz w:val="20"/>
                <w:szCs w:val="20"/>
              </w:rPr>
            </w:pPr>
            <w:r w:rsidRPr="005D579A">
              <w:rPr>
                <w:rFonts w:ascii="Times New Roman" w:hAnsi="Times New Roman" w:cs="Times New Roman"/>
                <w:b/>
                <w:bCs/>
                <w:sz w:val="20"/>
                <w:szCs w:val="20"/>
              </w:rPr>
              <w:t>observations</w:t>
            </w:r>
          </w:p>
        </w:tc>
        <w:tc>
          <w:tcPr>
            <w:tcW w:w="6874" w:type="dxa"/>
            <w:gridSpan w:val="3"/>
            <w:shd w:val="clear" w:color="auto" w:fill="9CC2E5" w:themeFill="accent1" w:themeFillTint="99"/>
          </w:tcPr>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 xml:space="preserve">Ecart du taux de participation entre le chiffre national et celui de SADD est de </w:t>
            </w:r>
            <w:r w:rsidRPr="005D579A">
              <w:rPr>
                <w:rFonts w:ascii="Times New Roman" w:hAnsi="Times New Roman" w:cs="Times New Roman"/>
                <w:b/>
                <w:color w:val="FF0000"/>
                <w:sz w:val="20"/>
                <w:szCs w:val="20"/>
              </w:rPr>
              <w:t xml:space="preserve">13,7%. </w:t>
            </w:r>
          </w:p>
          <w:p w:rsidR="005D579A" w:rsidRPr="005D579A" w:rsidRDefault="005D579A" w:rsidP="005D579A">
            <w:pPr>
              <w:spacing w:after="0"/>
              <w:jc w:val="both"/>
              <w:rPr>
                <w:rFonts w:ascii="Times New Roman" w:hAnsi="Times New Roman" w:cs="Times New Roman"/>
                <w:b/>
                <w:sz w:val="20"/>
                <w:szCs w:val="20"/>
              </w:rPr>
            </w:pPr>
            <w:r w:rsidRPr="005D579A">
              <w:rPr>
                <w:rFonts w:ascii="Times New Roman" w:hAnsi="Times New Roman" w:cs="Times New Roman"/>
                <w:b/>
                <w:sz w:val="20"/>
                <w:szCs w:val="20"/>
              </w:rPr>
              <w:t xml:space="preserve">Pour ce qui concerne  les bulletins nuls, le pourcentage observé par SADD par rapport au pourcentage national est de </w:t>
            </w:r>
            <w:r w:rsidRPr="005D579A">
              <w:rPr>
                <w:rFonts w:ascii="Times New Roman" w:hAnsi="Times New Roman" w:cs="Times New Roman"/>
                <w:b/>
                <w:color w:val="FF0000"/>
                <w:sz w:val="20"/>
                <w:szCs w:val="20"/>
              </w:rPr>
              <w:t>10,94 %.</w:t>
            </w:r>
          </w:p>
        </w:tc>
      </w:tr>
    </w:tbl>
    <w:p w:rsidR="005D579A" w:rsidRPr="005D579A" w:rsidRDefault="005D579A" w:rsidP="005D579A">
      <w:pPr>
        <w:spacing w:after="160" w:line="259" w:lineRule="auto"/>
        <w:rPr>
          <w:rFonts w:ascii="Times New Roman" w:hAnsi="Times New Roman" w:cs="Times New Roman"/>
          <w:b/>
          <w:sz w:val="20"/>
          <w:szCs w:val="20"/>
        </w:rPr>
      </w:pPr>
    </w:p>
    <w:p w:rsidR="005D579A" w:rsidRPr="00B67184" w:rsidRDefault="005D579A" w:rsidP="005D579A">
      <w:pPr>
        <w:spacing w:after="160" w:line="259" w:lineRule="auto"/>
        <w:rPr>
          <w:rFonts w:ascii="Times New Roman" w:hAnsi="Times New Roman" w:cs="Times New Roman"/>
          <w:b/>
          <w:sz w:val="24"/>
          <w:szCs w:val="24"/>
        </w:rPr>
      </w:pPr>
      <w:r w:rsidRPr="00B67184">
        <w:rPr>
          <w:rFonts w:ascii="Times New Roman" w:hAnsi="Times New Roman" w:cs="Times New Roman"/>
          <w:b/>
          <w:sz w:val="24"/>
          <w:szCs w:val="24"/>
        </w:rPr>
        <w:t>4.2. Les dysfonctionnements sur les listes électorales</w:t>
      </w:r>
    </w:p>
    <w:p w:rsidR="005D579A" w:rsidRDefault="005D579A" w:rsidP="005D579A">
      <w:pPr>
        <w:jc w:val="both"/>
        <w:rPr>
          <w:rFonts w:ascii="Times New Roman" w:eastAsiaTheme="minorEastAsia" w:hAnsi="Times New Roman" w:cs="Times New Roman"/>
          <w:sz w:val="24"/>
          <w:szCs w:val="24"/>
          <w:lang w:eastAsia="fr-FR"/>
        </w:rPr>
      </w:pPr>
      <w:r w:rsidRPr="00B67184">
        <w:rPr>
          <w:rFonts w:ascii="Times New Roman" w:eastAsiaTheme="minorEastAsia" w:hAnsi="Times New Roman" w:cs="Times New Roman"/>
          <w:sz w:val="24"/>
          <w:szCs w:val="24"/>
          <w:lang w:eastAsia="fr-FR"/>
        </w:rPr>
        <w:t>La révision des listes électorales pour les élections locales du 30 juin 2019 s’est déroulée les 16, 17, 1</w:t>
      </w:r>
      <w:r>
        <w:rPr>
          <w:rFonts w:ascii="Times New Roman" w:eastAsiaTheme="minorEastAsia" w:hAnsi="Times New Roman" w:cs="Times New Roman"/>
          <w:sz w:val="24"/>
          <w:szCs w:val="24"/>
          <w:lang w:eastAsia="fr-FR"/>
        </w:rPr>
        <w:t xml:space="preserve">8 mai 2019 en une seule phase </w:t>
      </w:r>
      <w:r w:rsidRPr="00B67184">
        <w:rPr>
          <w:rFonts w:ascii="Times New Roman" w:eastAsiaTheme="minorEastAsia" w:hAnsi="Times New Roman" w:cs="Times New Roman"/>
          <w:sz w:val="24"/>
          <w:szCs w:val="24"/>
          <w:lang w:eastAsia="fr-FR"/>
        </w:rPr>
        <w:t xml:space="preserve"> sur toute l’étendue du territoire national avec un jour supplémentaire estimé très insuffisant le 19 mai 2019, a permis </w:t>
      </w:r>
      <w:r w:rsidRPr="00B67184">
        <w:rPr>
          <w:rFonts w:ascii="Times New Roman" w:eastAsia="Times New Roman" w:hAnsi="Times New Roman" w:cs="Times New Roman"/>
          <w:sz w:val="24"/>
          <w:szCs w:val="24"/>
          <w:lang w:eastAsia="fr-FR"/>
        </w:rPr>
        <w:t>d’enrôler</w:t>
      </w:r>
      <w:r w:rsidRPr="00B67184">
        <w:rPr>
          <w:rFonts w:ascii="Times New Roman" w:eastAsia="Times New Roman" w:hAnsi="Times New Roman" w:cs="Times New Roman"/>
          <w:b/>
          <w:sz w:val="24"/>
          <w:szCs w:val="24"/>
          <w:lang w:eastAsia="fr-FR"/>
        </w:rPr>
        <w:t xml:space="preserve"> 310. 687 électeurs</w:t>
      </w:r>
      <w:r w:rsidRPr="00B67184">
        <w:rPr>
          <w:rFonts w:ascii="Times New Roman" w:eastAsiaTheme="minorEastAsia" w:hAnsi="Times New Roman" w:cs="Times New Roman"/>
          <w:sz w:val="24"/>
          <w:szCs w:val="24"/>
          <w:lang w:eastAsia="fr-FR"/>
        </w:rPr>
        <w:t>. Ce qui donnait un total brut du fichier national s'élevant à</w:t>
      </w:r>
      <w:r w:rsidRPr="00B67184">
        <w:rPr>
          <w:rFonts w:ascii="Times New Roman" w:eastAsiaTheme="minorEastAsia" w:hAnsi="Times New Roman" w:cs="Times New Roman"/>
          <w:b/>
          <w:sz w:val="24"/>
          <w:szCs w:val="24"/>
          <w:lang w:eastAsia="fr-FR"/>
        </w:rPr>
        <w:t xml:space="preserve"> 3 466 524</w:t>
      </w:r>
      <w:r w:rsidRPr="00B67184">
        <w:rPr>
          <w:rFonts w:ascii="Times New Roman" w:eastAsiaTheme="minorEastAsia" w:hAnsi="Times New Roman" w:cs="Times New Roman"/>
          <w:sz w:val="24"/>
          <w:szCs w:val="24"/>
          <w:lang w:eastAsia="fr-FR"/>
        </w:rPr>
        <w:t xml:space="preserve"> inscrits (recensement 2018 plus révision </w:t>
      </w:r>
      <w:r>
        <w:rPr>
          <w:rFonts w:ascii="Times New Roman" w:eastAsiaTheme="minorEastAsia" w:hAnsi="Times New Roman" w:cs="Times New Roman"/>
          <w:sz w:val="24"/>
          <w:szCs w:val="24"/>
          <w:lang w:eastAsia="fr-FR"/>
        </w:rPr>
        <w:t xml:space="preserve">2019). </w:t>
      </w:r>
      <w:r w:rsidRPr="00B67184">
        <w:rPr>
          <w:rFonts w:ascii="Times New Roman" w:eastAsiaTheme="minorEastAsia" w:hAnsi="Times New Roman" w:cs="Times New Roman"/>
          <w:sz w:val="24"/>
          <w:szCs w:val="24"/>
          <w:lang w:eastAsia="fr-FR"/>
        </w:rPr>
        <w:t>Compte tenu d’innombrables irrégularités empêchant encore un plus grand nombre de citoyens de se faire enregistrer, beaucoup de voix se sont élevées sur le plan politique</w:t>
      </w:r>
      <w:r w:rsidRPr="00B67184">
        <w:rPr>
          <w:rStyle w:val="Appelnotedebasdep"/>
          <w:rFonts w:ascii="Times New Roman" w:eastAsiaTheme="minorEastAsia" w:hAnsi="Times New Roman" w:cs="Times New Roman"/>
          <w:sz w:val="24"/>
          <w:szCs w:val="24"/>
          <w:lang w:eastAsia="fr-FR"/>
        </w:rPr>
        <w:footnoteReference w:id="1"/>
      </w:r>
      <w:r w:rsidRPr="00B67184">
        <w:rPr>
          <w:rFonts w:ascii="Times New Roman" w:eastAsiaTheme="minorEastAsia" w:hAnsi="Times New Roman" w:cs="Times New Roman"/>
          <w:sz w:val="24"/>
          <w:szCs w:val="24"/>
          <w:lang w:eastAsia="fr-FR"/>
        </w:rPr>
        <w:t>, dans la Société Civile</w:t>
      </w:r>
      <w:r w:rsidRPr="00B67184">
        <w:rPr>
          <w:rStyle w:val="Appelnotedebasdep"/>
          <w:rFonts w:ascii="Times New Roman" w:eastAsiaTheme="minorEastAsia" w:hAnsi="Times New Roman" w:cs="Times New Roman"/>
          <w:sz w:val="24"/>
          <w:szCs w:val="24"/>
          <w:lang w:eastAsia="fr-FR"/>
        </w:rPr>
        <w:footnoteReference w:id="2"/>
      </w:r>
      <w:r>
        <w:rPr>
          <w:rFonts w:ascii="Times New Roman" w:eastAsiaTheme="minorEastAsia" w:hAnsi="Times New Roman" w:cs="Times New Roman"/>
          <w:sz w:val="24"/>
          <w:szCs w:val="24"/>
          <w:lang w:eastAsia="fr-FR"/>
        </w:rPr>
        <w:t xml:space="preserve"> et dans le monde religieux pour demander</w:t>
      </w:r>
      <w:r w:rsidRPr="00B67184">
        <w:rPr>
          <w:rFonts w:ascii="Times New Roman" w:eastAsiaTheme="minorEastAsia" w:hAnsi="Times New Roman" w:cs="Times New Roman"/>
          <w:sz w:val="24"/>
          <w:szCs w:val="24"/>
          <w:lang w:eastAsia="fr-FR"/>
        </w:rPr>
        <w:t xml:space="preserve"> une prorogation considérable de la révision des listes électorales. Mais ce fut peine perdue. </w:t>
      </w:r>
    </w:p>
    <w:p w:rsidR="00371711" w:rsidRDefault="00371711" w:rsidP="005D579A">
      <w:pPr>
        <w:jc w:val="both"/>
        <w:rPr>
          <w:rFonts w:ascii="Times New Roman" w:eastAsiaTheme="minorEastAsia" w:hAnsi="Times New Roman" w:cs="Times New Roman"/>
          <w:sz w:val="24"/>
          <w:szCs w:val="24"/>
          <w:lang w:eastAsia="fr-FR"/>
        </w:rPr>
      </w:pPr>
    </w:p>
    <w:p w:rsidR="00371711" w:rsidRPr="003155B5" w:rsidRDefault="00371711" w:rsidP="005D579A">
      <w:pPr>
        <w:jc w:val="both"/>
        <w:rPr>
          <w:rFonts w:ascii="Times New Roman" w:eastAsiaTheme="minorEastAsia" w:hAnsi="Times New Roman" w:cs="Times New Roman"/>
          <w:sz w:val="24"/>
          <w:szCs w:val="24"/>
          <w:lang w:eastAsia="fr-FR"/>
        </w:rPr>
      </w:pPr>
    </w:p>
    <w:p w:rsidR="005D579A" w:rsidRPr="00B67184" w:rsidRDefault="005D579A" w:rsidP="005D579A">
      <w:pPr>
        <w:spacing w:after="150" w:line="300" w:lineRule="atLeast"/>
        <w:jc w:val="both"/>
        <w:rPr>
          <w:rFonts w:ascii="Times New Roman" w:eastAsia="Times New Roman" w:hAnsi="Times New Roman" w:cs="Times New Roman"/>
          <w:b/>
          <w:bCs/>
          <w:i/>
          <w:iCs/>
          <w:color w:val="C00000"/>
          <w:sz w:val="24"/>
          <w:szCs w:val="24"/>
          <w:lang w:eastAsia="fr-FR"/>
        </w:rPr>
      </w:pPr>
      <w:r w:rsidRPr="00B67184">
        <w:rPr>
          <w:rFonts w:ascii="Times New Roman" w:eastAsia="Times New Roman" w:hAnsi="Times New Roman" w:cs="Times New Roman"/>
          <w:b/>
          <w:bCs/>
          <w:i/>
          <w:iCs/>
          <w:sz w:val="24"/>
          <w:szCs w:val="24"/>
          <w:lang w:eastAsia="fr-FR"/>
        </w:rPr>
        <w:lastRenderedPageBreak/>
        <w:t xml:space="preserve">Entres autres  dysfonctionnements: </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bCs/>
          <w:i/>
          <w:iCs/>
          <w:sz w:val="24"/>
          <w:szCs w:val="24"/>
          <w:lang w:eastAsia="fr-FR"/>
        </w:rPr>
        <w:t xml:space="preserve">des pannes incessantes et la lenteur des kits, </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proofErr w:type="gramStart"/>
      <w:r w:rsidRPr="00B67184">
        <w:rPr>
          <w:rFonts w:ascii="Times New Roman" w:eastAsia="Times New Roman" w:hAnsi="Times New Roman" w:cs="Times New Roman"/>
          <w:bCs/>
          <w:i/>
          <w:iCs/>
          <w:sz w:val="24"/>
          <w:szCs w:val="24"/>
          <w:lang w:eastAsia="fr-FR"/>
        </w:rPr>
        <w:t>la</w:t>
      </w:r>
      <w:proofErr w:type="gramEnd"/>
      <w:r w:rsidRPr="00B67184">
        <w:rPr>
          <w:rFonts w:ascii="Times New Roman" w:eastAsia="Times New Roman" w:hAnsi="Times New Roman" w:cs="Times New Roman"/>
          <w:bCs/>
          <w:i/>
          <w:iCs/>
          <w:sz w:val="24"/>
          <w:szCs w:val="24"/>
          <w:lang w:eastAsia="fr-FR"/>
        </w:rPr>
        <w:t xml:space="preserve"> non maîtrise de l’utilisation des kits par les OPS,</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bCs/>
          <w:i/>
          <w:iCs/>
          <w:sz w:val="24"/>
          <w:szCs w:val="24"/>
          <w:lang w:eastAsia="fr-FR"/>
        </w:rPr>
        <w:t>le nombre insuffisant de Kits pour contenir l’affluence dans les centres de révision,</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i/>
          <w:sz w:val="24"/>
          <w:szCs w:val="24"/>
          <w:lang w:eastAsia="fr-FR"/>
        </w:rPr>
        <w:t>la faible communication officielle relativement à cette étape cruciale du processus électoral,</w:t>
      </w:r>
    </w:p>
    <w:p w:rsidR="005D579A" w:rsidRPr="00B67184" w:rsidRDefault="00014179"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p</w:t>
      </w:r>
      <w:r w:rsidR="005D579A" w:rsidRPr="00B67184">
        <w:rPr>
          <w:rFonts w:ascii="Times New Roman" w:eastAsia="Times New Roman" w:hAnsi="Times New Roman" w:cs="Times New Roman"/>
          <w:i/>
          <w:sz w:val="24"/>
          <w:szCs w:val="24"/>
          <w:lang w:eastAsia="fr-FR"/>
        </w:rPr>
        <w:t>lusieurs dysfonctionnements factuels dans les centres de recensement qui contrastent avec la grande affluence,</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i/>
          <w:sz w:val="24"/>
          <w:szCs w:val="24"/>
          <w:lang w:eastAsia="fr-FR"/>
        </w:rPr>
        <w:t>les démarrages tardifs des opérations dans plusieurs centres,</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i/>
          <w:sz w:val="24"/>
          <w:szCs w:val="24"/>
          <w:lang w:eastAsia="fr-FR"/>
        </w:rPr>
        <w:t xml:space="preserve">la lenteur des appareils et du système de transmission des données, </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i/>
          <w:sz w:val="24"/>
          <w:szCs w:val="24"/>
          <w:lang w:eastAsia="fr-FR"/>
        </w:rPr>
        <w:t xml:space="preserve">les difficultés d'impression des cartes d’électeurs, </w:t>
      </w:r>
    </w:p>
    <w:p w:rsidR="005D579A" w:rsidRPr="00B67184" w:rsidRDefault="005D579A" w:rsidP="005D579A">
      <w:pPr>
        <w:pStyle w:val="Paragraphedeliste"/>
        <w:numPr>
          <w:ilvl w:val="0"/>
          <w:numId w:val="2"/>
        </w:numPr>
        <w:spacing w:after="150" w:line="300" w:lineRule="atLeast"/>
        <w:jc w:val="both"/>
        <w:rPr>
          <w:rFonts w:ascii="Times New Roman" w:eastAsia="Times New Roman" w:hAnsi="Times New Roman" w:cs="Times New Roman"/>
          <w:i/>
          <w:sz w:val="24"/>
          <w:szCs w:val="24"/>
          <w:lang w:eastAsia="fr-FR"/>
        </w:rPr>
      </w:pPr>
      <w:r w:rsidRPr="00B67184">
        <w:rPr>
          <w:rFonts w:ascii="Times New Roman" w:eastAsia="Times New Roman" w:hAnsi="Times New Roman" w:cs="Times New Roman"/>
          <w:i/>
          <w:sz w:val="24"/>
          <w:szCs w:val="24"/>
          <w:lang w:eastAsia="fr-FR"/>
        </w:rPr>
        <w:t xml:space="preserve">le refus d’enrôlement sur la base des cartes d’électeur antérieures à 2018, </w:t>
      </w:r>
    </w:p>
    <w:p w:rsidR="005D579A" w:rsidRPr="00F46A05" w:rsidRDefault="00F46A05" w:rsidP="005D579A">
      <w:pPr>
        <w:jc w:val="center"/>
        <w:rPr>
          <w:rFonts w:ascii="Times New Roman" w:hAnsi="Times New Roman" w:cs="Times New Roman"/>
          <w:b/>
        </w:rPr>
      </w:pPr>
      <w:r>
        <w:rPr>
          <w:rFonts w:ascii="Times New Roman" w:hAnsi="Times New Roman" w:cs="Times New Roman"/>
          <w:b/>
        </w:rPr>
        <w:t>4.3</w:t>
      </w:r>
      <w:r w:rsidR="005D579A" w:rsidRPr="00F46A05">
        <w:rPr>
          <w:rFonts w:ascii="Times New Roman" w:hAnsi="Times New Roman" w:cs="Times New Roman"/>
          <w:b/>
        </w:rPr>
        <w:t>. Comportements des électeurs</w:t>
      </w:r>
      <w:r w:rsidR="006D0CDC" w:rsidRPr="00F46A05">
        <w:rPr>
          <w:rFonts w:ascii="Times New Roman" w:hAnsi="Times New Roman" w:cs="Times New Roman"/>
          <w:b/>
        </w:rPr>
        <w:t xml:space="preserve"> et particularité des campagnes </w:t>
      </w:r>
      <w:r w:rsidR="005D579A" w:rsidRPr="00F46A05">
        <w:rPr>
          <w:rFonts w:ascii="Times New Roman" w:hAnsi="Times New Roman" w:cs="Times New Roman"/>
          <w:b/>
        </w:rPr>
        <w:t xml:space="preserve"> dans les différentes régions du Togo</w:t>
      </w:r>
    </w:p>
    <w:p w:rsidR="005D579A" w:rsidRPr="00B67184" w:rsidRDefault="005D579A" w:rsidP="005D579A">
      <w:pPr>
        <w:pStyle w:val="Paragraphedeliste"/>
        <w:numPr>
          <w:ilvl w:val="0"/>
          <w:numId w:val="1"/>
        </w:numPr>
        <w:jc w:val="both"/>
        <w:rPr>
          <w:rFonts w:ascii="Times New Roman" w:hAnsi="Times New Roman" w:cs="Times New Roman"/>
          <w:b/>
          <w:sz w:val="24"/>
          <w:szCs w:val="24"/>
          <w:u w:val="single"/>
        </w:rPr>
      </w:pPr>
      <w:r w:rsidRPr="00B67184">
        <w:rPr>
          <w:rFonts w:ascii="Times New Roman" w:hAnsi="Times New Roman" w:cs="Times New Roman"/>
          <w:b/>
          <w:sz w:val="24"/>
          <w:szCs w:val="24"/>
          <w:u w:val="single"/>
        </w:rPr>
        <w:t>Au sud du Togo</w:t>
      </w:r>
    </w:p>
    <w:p w:rsidR="005D579A" w:rsidRPr="00B67184" w:rsidRDefault="005D579A" w:rsidP="005D579A">
      <w:pPr>
        <w:jc w:val="both"/>
        <w:rPr>
          <w:rFonts w:ascii="Times New Roman" w:hAnsi="Times New Roman" w:cs="Times New Roman"/>
          <w:b/>
          <w:sz w:val="24"/>
          <w:szCs w:val="24"/>
          <w:u w:val="single"/>
        </w:rPr>
      </w:pPr>
      <w:r w:rsidRPr="00B67184">
        <w:rPr>
          <w:rFonts w:ascii="Times New Roman" w:hAnsi="Times New Roman" w:cs="Times New Roman"/>
          <w:sz w:val="24"/>
          <w:szCs w:val="24"/>
        </w:rPr>
        <w:t>Dans certaines communes au sud du Togo notamment</w:t>
      </w:r>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Anié</w:t>
      </w:r>
      <w:proofErr w:type="spellEnd"/>
      <w:r w:rsidRPr="00B67184">
        <w:rPr>
          <w:rFonts w:ascii="Times New Roman" w:hAnsi="Times New Roman" w:cs="Times New Roman"/>
          <w:b/>
          <w:sz w:val="24"/>
          <w:szCs w:val="24"/>
        </w:rPr>
        <w:t xml:space="preserve"> 1, Bas-mono 1 et 2, Lomé Golfe, </w:t>
      </w:r>
      <w:proofErr w:type="spellStart"/>
      <w:r w:rsidRPr="00B67184">
        <w:rPr>
          <w:rFonts w:ascii="Times New Roman" w:hAnsi="Times New Roman" w:cs="Times New Roman"/>
          <w:b/>
          <w:sz w:val="24"/>
          <w:szCs w:val="24"/>
        </w:rPr>
        <w:t>kloto</w:t>
      </w:r>
      <w:proofErr w:type="spellEnd"/>
      <w:r w:rsidRPr="00B67184">
        <w:rPr>
          <w:rFonts w:ascii="Times New Roman" w:hAnsi="Times New Roman" w:cs="Times New Roman"/>
          <w:b/>
          <w:sz w:val="24"/>
          <w:szCs w:val="24"/>
        </w:rPr>
        <w:t xml:space="preserve"> 1 ; </w:t>
      </w:r>
      <w:proofErr w:type="spellStart"/>
      <w:r w:rsidRPr="00B67184">
        <w:rPr>
          <w:rFonts w:ascii="Times New Roman" w:hAnsi="Times New Roman" w:cs="Times New Roman"/>
          <w:b/>
          <w:sz w:val="24"/>
          <w:szCs w:val="24"/>
        </w:rPr>
        <w:t>kpémé</w:t>
      </w:r>
      <w:proofErr w:type="spellEnd"/>
      <w:r w:rsidRPr="00B67184">
        <w:rPr>
          <w:rFonts w:ascii="Times New Roman" w:hAnsi="Times New Roman" w:cs="Times New Roman"/>
          <w:b/>
          <w:sz w:val="24"/>
          <w:szCs w:val="24"/>
        </w:rPr>
        <w:t xml:space="preserve">, Vo3 et Vo4, </w:t>
      </w:r>
      <w:proofErr w:type="spellStart"/>
      <w:r w:rsidRPr="00B67184">
        <w:rPr>
          <w:rFonts w:ascii="Times New Roman" w:hAnsi="Times New Roman" w:cs="Times New Roman"/>
          <w:b/>
          <w:sz w:val="24"/>
          <w:szCs w:val="24"/>
        </w:rPr>
        <w:t>Ogou</w:t>
      </w:r>
      <w:proofErr w:type="spellEnd"/>
      <w:r w:rsidRPr="00B67184">
        <w:rPr>
          <w:rFonts w:ascii="Times New Roman" w:hAnsi="Times New Roman" w:cs="Times New Roman"/>
          <w:b/>
          <w:sz w:val="24"/>
          <w:szCs w:val="24"/>
        </w:rPr>
        <w:t xml:space="preserve"> 1, Amou 1, </w:t>
      </w:r>
      <w:proofErr w:type="spellStart"/>
      <w:r w:rsidRPr="00B67184">
        <w:rPr>
          <w:rFonts w:ascii="Times New Roman" w:hAnsi="Times New Roman" w:cs="Times New Roman"/>
          <w:b/>
          <w:sz w:val="24"/>
          <w:szCs w:val="24"/>
        </w:rPr>
        <w:t>Yoto</w:t>
      </w:r>
      <w:proofErr w:type="spellEnd"/>
      <w:r w:rsidRPr="00B67184">
        <w:rPr>
          <w:rFonts w:ascii="Times New Roman" w:hAnsi="Times New Roman" w:cs="Times New Roman"/>
          <w:b/>
          <w:sz w:val="24"/>
          <w:szCs w:val="24"/>
        </w:rPr>
        <w:t xml:space="preserve"> 1, </w:t>
      </w:r>
      <w:proofErr w:type="spellStart"/>
      <w:r w:rsidRPr="00B67184">
        <w:rPr>
          <w:rFonts w:ascii="Times New Roman" w:hAnsi="Times New Roman" w:cs="Times New Roman"/>
          <w:b/>
          <w:sz w:val="24"/>
          <w:szCs w:val="24"/>
        </w:rPr>
        <w:t>Danyi</w:t>
      </w:r>
      <w:proofErr w:type="spellEnd"/>
      <w:r w:rsidRPr="00B67184">
        <w:rPr>
          <w:rFonts w:ascii="Times New Roman" w:hAnsi="Times New Roman" w:cs="Times New Roman"/>
          <w:b/>
          <w:sz w:val="24"/>
          <w:szCs w:val="24"/>
        </w:rPr>
        <w:t xml:space="preserve"> 1  </w:t>
      </w:r>
      <w:r w:rsidRPr="00B67184">
        <w:rPr>
          <w:rFonts w:ascii="Times New Roman" w:hAnsi="Times New Roman" w:cs="Times New Roman"/>
          <w:sz w:val="24"/>
          <w:szCs w:val="24"/>
        </w:rPr>
        <w:t>lors</w:t>
      </w:r>
      <w:r w:rsidRPr="00B67184">
        <w:rPr>
          <w:rFonts w:ascii="Times New Roman" w:hAnsi="Times New Roman" w:cs="Times New Roman"/>
          <w:b/>
          <w:sz w:val="24"/>
          <w:szCs w:val="24"/>
        </w:rPr>
        <w:t xml:space="preserve"> </w:t>
      </w:r>
      <w:r w:rsidRPr="00B67184">
        <w:rPr>
          <w:rFonts w:ascii="Times New Roman" w:hAnsi="Times New Roman" w:cs="Times New Roman"/>
          <w:sz w:val="24"/>
          <w:szCs w:val="24"/>
        </w:rPr>
        <w:t>des meetings avec les candidats, certains citoyens ont eu un bon comportement et des réactions positives. Par contre d’autres ont refusé de participer aux meetings car les candidats ne tiennent pas leurs promesses. D’autres encore étaient indifférents. Par ailleurs, des cris de déceptions poussés par plusieurs personnes à la fois sur UNIR ont été enregistrés; il y a eu également le manque de respect envers certaines autorités du parti de l’ANC.</w:t>
      </w:r>
    </w:p>
    <w:p w:rsidR="00483822" w:rsidRPr="005D579A"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t>En somme, il faut noter que la campagne s’est bien déroulée dans la paix et la tranquillité sans incident majeur. Mais, la particularité de cette campagne électorale a été marquée non seulement par le silence de la majorité opposante</w:t>
      </w:r>
      <w:r w:rsidR="00A426EA">
        <w:rPr>
          <w:rFonts w:ascii="Times New Roman" w:hAnsi="Times New Roman" w:cs="Times New Roman"/>
          <w:sz w:val="24"/>
          <w:szCs w:val="24"/>
        </w:rPr>
        <w:t>,</w:t>
      </w:r>
      <w:r w:rsidRPr="00B67184">
        <w:rPr>
          <w:rFonts w:ascii="Times New Roman" w:hAnsi="Times New Roman" w:cs="Times New Roman"/>
          <w:sz w:val="24"/>
          <w:szCs w:val="24"/>
        </w:rPr>
        <w:t> mais aussi par une atmosphère de joie et de fair-play constaté</w:t>
      </w:r>
      <w:r w:rsidR="00A426EA">
        <w:rPr>
          <w:rFonts w:ascii="Times New Roman" w:hAnsi="Times New Roman" w:cs="Times New Roman"/>
          <w:sz w:val="24"/>
          <w:szCs w:val="24"/>
        </w:rPr>
        <w:t>e</w:t>
      </w:r>
      <w:r w:rsidRPr="00B67184">
        <w:rPr>
          <w:rFonts w:ascii="Times New Roman" w:hAnsi="Times New Roman" w:cs="Times New Roman"/>
          <w:sz w:val="24"/>
          <w:szCs w:val="24"/>
        </w:rPr>
        <w:t xml:space="preserve"> entre les différents partisans lors de la campagne. Des salutations et accolades entre les partisans de différents partis lorsque leurs caravanes se croisent. Ce qui n’était pas le cas au cours des années antérieures. Par ailleurs, on a noté  également la campagne de porte à porte adoptée par certains partis en lice. La non-violence était au rendez-vous un peu partout. On a noté aussi une multitude de candidats indépendants. La majorité des citoyens et des citoyennes de chaque localité s’était présentée pour leur première fois aux élections locales depuis 32 ans. La non-intimidation des forces de l’Ordre pendant la campagne a été aussi observée.</w:t>
      </w:r>
    </w:p>
    <w:p w:rsidR="005D579A" w:rsidRPr="00B67184" w:rsidRDefault="005D579A" w:rsidP="005D579A">
      <w:pPr>
        <w:pStyle w:val="Paragraphedeliste"/>
        <w:numPr>
          <w:ilvl w:val="0"/>
          <w:numId w:val="1"/>
        </w:numPr>
        <w:jc w:val="both"/>
        <w:rPr>
          <w:rFonts w:ascii="Times New Roman" w:hAnsi="Times New Roman" w:cs="Times New Roman"/>
          <w:b/>
          <w:sz w:val="24"/>
          <w:szCs w:val="24"/>
          <w:u w:val="single"/>
        </w:rPr>
      </w:pPr>
      <w:r w:rsidRPr="00B67184">
        <w:rPr>
          <w:rFonts w:ascii="Times New Roman" w:hAnsi="Times New Roman" w:cs="Times New Roman"/>
          <w:b/>
          <w:sz w:val="24"/>
          <w:szCs w:val="24"/>
          <w:u w:val="single"/>
        </w:rPr>
        <w:t>Au Nord du Togo</w:t>
      </w:r>
    </w:p>
    <w:p w:rsidR="005D579A" w:rsidRPr="00B67184" w:rsidRDefault="005D579A" w:rsidP="005D579A">
      <w:pPr>
        <w:jc w:val="both"/>
        <w:rPr>
          <w:rFonts w:ascii="Times New Roman" w:hAnsi="Times New Roman" w:cs="Times New Roman"/>
          <w:b/>
          <w:sz w:val="24"/>
          <w:szCs w:val="24"/>
        </w:rPr>
      </w:pPr>
      <w:r w:rsidRPr="00B67184">
        <w:rPr>
          <w:rFonts w:ascii="Times New Roman" w:hAnsi="Times New Roman" w:cs="Times New Roman"/>
          <w:sz w:val="24"/>
          <w:szCs w:val="24"/>
        </w:rPr>
        <w:t xml:space="preserve">Dans certaines communes du Nord Togo notamment </w:t>
      </w:r>
      <w:proofErr w:type="spellStart"/>
      <w:r w:rsidRPr="00B67184">
        <w:rPr>
          <w:rFonts w:ascii="Times New Roman" w:hAnsi="Times New Roman" w:cs="Times New Roman"/>
          <w:b/>
          <w:sz w:val="24"/>
          <w:szCs w:val="24"/>
        </w:rPr>
        <w:t>Tone</w:t>
      </w:r>
      <w:proofErr w:type="spellEnd"/>
      <w:r w:rsidRPr="00B67184">
        <w:rPr>
          <w:rFonts w:ascii="Times New Roman" w:hAnsi="Times New Roman" w:cs="Times New Roman"/>
          <w:b/>
          <w:sz w:val="24"/>
          <w:szCs w:val="24"/>
        </w:rPr>
        <w:t xml:space="preserve"> 1 (Dapaong), </w:t>
      </w:r>
      <w:proofErr w:type="spellStart"/>
      <w:r w:rsidRPr="00B67184">
        <w:rPr>
          <w:rFonts w:ascii="Times New Roman" w:hAnsi="Times New Roman" w:cs="Times New Roman"/>
          <w:b/>
          <w:sz w:val="24"/>
          <w:szCs w:val="24"/>
        </w:rPr>
        <w:t>Kozah</w:t>
      </w:r>
      <w:proofErr w:type="spellEnd"/>
      <w:r w:rsidRPr="00B67184">
        <w:rPr>
          <w:rFonts w:ascii="Times New Roman" w:hAnsi="Times New Roman" w:cs="Times New Roman"/>
          <w:b/>
          <w:sz w:val="24"/>
          <w:szCs w:val="24"/>
        </w:rPr>
        <w:t xml:space="preserve"> 1 (</w:t>
      </w:r>
      <w:proofErr w:type="spellStart"/>
      <w:r w:rsidRPr="00B67184">
        <w:rPr>
          <w:rFonts w:ascii="Times New Roman" w:hAnsi="Times New Roman" w:cs="Times New Roman"/>
          <w:b/>
          <w:sz w:val="24"/>
          <w:szCs w:val="24"/>
        </w:rPr>
        <w:t>kara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Binah</w:t>
      </w:r>
      <w:proofErr w:type="spellEnd"/>
      <w:r w:rsidRPr="00B67184">
        <w:rPr>
          <w:rFonts w:ascii="Times New Roman" w:hAnsi="Times New Roman" w:cs="Times New Roman"/>
          <w:b/>
          <w:sz w:val="24"/>
          <w:szCs w:val="24"/>
        </w:rPr>
        <w:t xml:space="preserve"> 1 (</w:t>
      </w:r>
      <w:proofErr w:type="spellStart"/>
      <w:r w:rsidRPr="00B67184">
        <w:rPr>
          <w:rFonts w:ascii="Times New Roman" w:hAnsi="Times New Roman" w:cs="Times New Roman"/>
          <w:b/>
          <w:sz w:val="24"/>
          <w:szCs w:val="24"/>
        </w:rPr>
        <w:t>Pagouda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Sotouboua</w:t>
      </w:r>
      <w:proofErr w:type="spellEnd"/>
      <w:r w:rsidRPr="00B67184">
        <w:rPr>
          <w:rFonts w:ascii="Times New Roman" w:hAnsi="Times New Roman" w:cs="Times New Roman"/>
          <w:b/>
          <w:sz w:val="24"/>
          <w:szCs w:val="24"/>
        </w:rPr>
        <w:t xml:space="preserve"> 1 (</w:t>
      </w:r>
      <w:proofErr w:type="spellStart"/>
      <w:r w:rsidRPr="00B67184">
        <w:rPr>
          <w:rFonts w:ascii="Times New Roman" w:hAnsi="Times New Roman" w:cs="Times New Roman"/>
          <w:b/>
          <w:sz w:val="24"/>
          <w:szCs w:val="24"/>
        </w:rPr>
        <w:t>Sotouboua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Sotouboua</w:t>
      </w:r>
      <w:proofErr w:type="spellEnd"/>
      <w:r w:rsidRPr="00B67184">
        <w:rPr>
          <w:rFonts w:ascii="Times New Roman" w:hAnsi="Times New Roman" w:cs="Times New Roman"/>
          <w:b/>
          <w:sz w:val="24"/>
          <w:szCs w:val="24"/>
        </w:rPr>
        <w:t xml:space="preserve"> 2 (</w:t>
      </w:r>
      <w:proofErr w:type="spellStart"/>
      <w:r w:rsidRPr="00B67184">
        <w:rPr>
          <w:rFonts w:ascii="Times New Roman" w:hAnsi="Times New Roman" w:cs="Times New Roman"/>
          <w:b/>
          <w:sz w:val="24"/>
          <w:szCs w:val="24"/>
        </w:rPr>
        <w:t>Adjengré</w:t>
      </w:r>
      <w:proofErr w:type="spellEnd"/>
      <w:r w:rsidRPr="00B67184">
        <w:rPr>
          <w:rFonts w:ascii="Times New Roman" w:hAnsi="Times New Roman" w:cs="Times New Roman"/>
          <w:b/>
          <w:sz w:val="24"/>
          <w:szCs w:val="24"/>
        </w:rPr>
        <w:t>) Bassar 1 (Bassar) Bassar 2 (</w:t>
      </w:r>
      <w:proofErr w:type="spellStart"/>
      <w:r w:rsidRPr="00B67184">
        <w:rPr>
          <w:rFonts w:ascii="Times New Roman" w:hAnsi="Times New Roman" w:cs="Times New Roman"/>
          <w:b/>
          <w:sz w:val="24"/>
          <w:szCs w:val="24"/>
        </w:rPr>
        <w:t>Bangéli</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Blitta</w:t>
      </w:r>
      <w:proofErr w:type="spellEnd"/>
      <w:r w:rsidRPr="00B67184">
        <w:rPr>
          <w:rFonts w:ascii="Times New Roman" w:hAnsi="Times New Roman" w:cs="Times New Roman"/>
          <w:b/>
          <w:sz w:val="24"/>
          <w:szCs w:val="24"/>
        </w:rPr>
        <w:t xml:space="preserve"> 1 (</w:t>
      </w:r>
      <w:proofErr w:type="spellStart"/>
      <w:r w:rsidRPr="00B67184">
        <w:rPr>
          <w:rFonts w:ascii="Times New Roman" w:hAnsi="Times New Roman" w:cs="Times New Roman"/>
          <w:b/>
          <w:sz w:val="24"/>
          <w:szCs w:val="24"/>
        </w:rPr>
        <w:t>Blitta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Blitta</w:t>
      </w:r>
      <w:proofErr w:type="spellEnd"/>
      <w:r w:rsidRPr="00B67184">
        <w:rPr>
          <w:rFonts w:ascii="Times New Roman" w:hAnsi="Times New Roman" w:cs="Times New Roman"/>
          <w:b/>
          <w:sz w:val="24"/>
          <w:szCs w:val="24"/>
        </w:rPr>
        <w:t xml:space="preserve"> 2 (</w:t>
      </w:r>
      <w:proofErr w:type="spellStart"/>
      <w:r w:rsidR="00A426EA">
        <w:rPr>
          <w:rFonts w:ascii="Times New Roman" w:hAnsi="Times New Roman" w:cs="Times New Roman"/>
          <w:b/>
          <w:sz w:val="24"/>
          <w:szCs w:val="24"/>
        </w:rPr>
        <w:t>Blitta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Blitta</w:t>
      </w:r>
      <w:proofErr w:type="spellEnd"/>
      <w:r w:rsidRPr="00B67184">
        <w:rPr>
          <w:rFonts w:ascii="Times New Roman" w:hAnsi="Times New Roman" w:cs="Times New Roman"/>
          <w:b/>
          <w:sz w:val="24"/>
          <w:szCs w:val="24"/>
        </w:rPr>
        <w:t xml:space="preserve"> 3 (</w:t>
      </w:r>
      <w:proofErr w:type="spellStart"/>
      <w:r w:rsidRPr="00B67184">
        <w:rPr>
          <w:rFonts w:ascii="Times New Roman" w:hAnsi="Times New Roman" w:cs="Times New Roman"/>
          <w:b/>
          <w:sz w:val="24"/>
          <w:szCs w:val="24"/>
        </w:rPr>
        <w:t>Pagala</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Tchaoudjo</w:t>
      </w:r>
      <w:proofErr w:type="spellEnd"/>
      <w:r w:rsidRPr="00B67184">
        <w:rPr>
          <w:rFonts w:ascii="Times New Roman" w:hAnsi="Times New Roman" w:cs="Times New Roman"/>
          <w:b/>
          <w:sz w:val="24"/>
          <w:szCs w:val="24"/>
        </w:rPr>
        <w:t xml:space="preserve"> 1 (Sokodé) </w:t>
      </w:r>
      <w:proofErr w:type="spellStart"/>
      <w:r w:rsidRPr="00B67184">
        <w:rPr>
          <w:rFonts w:ascii="Times New Roman" w:hAnsi="Times New Roman" w:cs="Times New Roman"/>
          <w:b/>
          <w:sz w:val="24"/>
          <w:szCs w:val="24"/>
        </w:rPr>
        <w:t>Tchaoudjo</w:t>
      </w:r>
      <w:proofErr w:type="spellEnd"/>
      <w:r w:rsidRPr="00B67184">
        <w:rPr>
          <w:rFonts w:ascii="Times New Roman" w:hAnsi="Times New Roman" w:cs="Times New Roman"/>
          <w:b/>
          <w:sz w:val="24"/>
          <w:szCs w:val="24"/>
        </w:rPr>
        <w:t xml:space="preserve"> 2 (</w:t>
      </w:r>
      <w:proofErr w:type="spellStart"/>
      <w:r w:rsidRPr="00B67184">
        <w:rPr>
          <w:rFonts w:ascii="Times New Roman" w:hAnsi="Times New Roman" w:cs="Times New Roman"/>
          <w:b/>
          <w:sz w:val="24"/>
          <w:szCs w:val="24"/>
        </w:rPr>
        <w:t>Tchamba</w:t>
      </w:r>
      <w:proofErr w:type="spellEnd"/>
      <w:r w:rsidRPr="00B67184">
        <w:rPr>
          <w:rFonts w:ascii="Times New Roman" w:hAnsi="Times New Roman" w:cs="Times New Roman"/>
          <w:b/>
          <w:sz w:val="24"/>
          <w:szCs w:val="24"/>
        </w:rPr>
        <w:t>),</w:t>
      </w:r>
      <w:r w:rsidRPr="00B67184">
        <w:rPr>
          <w:rFonts w:ascii="Times New Roman" w:hAnsi="Times New Roman" w:cs="Times New Roman"/>
          <w:sz w:val="24"/>
          <w:szCs w:val="24"/>
        </w:rPr>
        <w:t xml:space="preserve"> la plupart des citoyens ont bien écouté les candidats dans un climat de joie. Tandis que d’autres citoyens se sont désespérés et aigris à cause des promesses non tenues d’où la manifestation de leur ras-le-bol. Du coup on a assisté à des débats tendus entre les citoyens et les candidats.</w:t>
      </w:r>
    </w:p>
    <w:p w:rsidR="005D579A"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lastRenderedPageBreak/>
        <w:t>Cette campagne électorale a été particulière car les candidats n’ont pas distribué de tricots et des cadeaux comme cela se faisaient. Force est de constater que les dons en vivres, en tricots et de l’argent ont été quasi rares pour les partis et surtout pour le parti UNIR à la différence de ce qui s’est passé pendant les législatives. La plupart des campagnes se sont faites de porte à porte et d’ami à ami.</w:t>
      </w:r>
    </w:p>
    <w:p w:rsidR="005D579A" w:rsidRPr="00981FD9" w:rsidRDefault="005D579A" w:rsidP="005D579A">
      <w:pPr>
        <w:jc w:val="both"/>
        <w:rPr>
          <w:rFonts w:ascii="Times New Roman" w:hAnsi="Times New Roman" w:cs="Times New Roman"/>
          <w:b/>
          <w:i/>
          <w:sz w:val="24"/>
          <w:szCs w:val="24"/>
        </w:rPr>
      </w:pPr>
      <w:r w:rsidRPr="00981FD9">
        <w:rPr>
          <w:rFonts w:ascii="Times New Roman" w:hAnsi="Times New Roman" w:cs="Times New Roman"/>
          <w:b/>
          <w:i/>
          <w:sz w:val="24"/>
          <w:szCs w:val="24"/>
        </w:rPr>
        <w:t>Un tableau récapitulatif permet de voir le comportement des électeurs dans les urnes dans les différentes régions du Togo. Il ressort que  le taux de participation a davantage chuté au Sud dans les régions maritime et des plateaux avoisinant les 30% avec un  fort taux d’abstention qui avoisine les 70%</w:t>
      </w:r>
      <w:r w:rsidR="000B2588">
        <w:rPr>
          <w:rFonts w:ascii="Times New Roman" w:hAnsi="Times New Roman" w:cs="Times New Roman"/>
          <w:b/>
          <w:i/>
          <w:sz w:val="24"/>
          <w:szCs w:val="24"/>
        </w:rPr>
        <w:t>,</w:t>
      </w:r>
      <w:r w:rsidRPr="00981FD9">
        <w:rPr>
          <w:rFonts w:ascii="Times New Roman" w:hAnsi="Times New Roman" w:cs="Times New Roman"/>
          <w:b/>
          <w:i/>
          <w:sz w:val="24"/>
          <w:szCs w:val="24"/>
        </w:rPr>
        <w:t xml:space="preserve"> contrai</w:t>
      </w:r>
      <w:r w:rsidR="000B2588">
        <w:rPr>
          <w:rFonts w:ascii="Times New Roman" w:hAnsi="Times New Roman" w:cs="Times New Roman"/>
          <w:b/>
          <w:i/>
          <w:sz w:val="24"/>
          <w:szCs w:val="24"/>
        </w:rPr>
        <w:t>rement aux années antérieures où</w:t>
      </w:r>
      <w:r w:rsidRPr="00981FD9">
        <w:rPr>
          <w:rFonts w:ascii="Times New Roman" w:hAnsi="Times New Roman" w:cs="Times New Roman"/>
          <w:b/>
          <w:i/>
          <w:sz w:val="24"/>
          <w:szCs w:val="24"/>
        </w:rPr>
        <w:t xml:space="preserve"> le taux de participation avoisinait les 51 à 52% et d’ab</w:t>
      </w:r>
      <w:r w:rsidR="00981FD9" w:rsidRPr="00981FD9">
        <w:rPr>
          <w:rFonts w:ascii="Times New Roman" w:hAnsi="Times New Roman" w:cs="Times New Roman"/>
          <w:b/>
          <w:i/>
          <w:sz w:val="24"/>
          <w:szCs w:val="24"/>
        </w:rPr>
        <w:t xml:space="preserve">stention </w:t>
      </w:r>
      <w:r w:rsidR="000B2588">
        <w:rPr>
          <w:rFonts w:ascii="Times New Roman" w:hAnsi="Times New Roman" w:cs="Times New Roman"/>
          <w:b/>
          <w:i/>
          <w:sz w:val="24"/>
          <w:szCs w:val="24"/>
        </w:rPr>
        <w:t xml:space="preserve">de </w:t>
      </w:r>
      <w:r w:rsidR="00981FD9" w:rsidRPr="00981FD9">
        <w:rPr>
          <w:rFonts w:ascii="Times New Roman" w:hAnsi="Times New Roman" w:cs="Times New Roman"/>
          <w:b/>
          <w:i/>
          <w:sz w:val="24"/>
          <w:szCs w:val="24"/>
        </w:rPr>
        <w:t>45% avec des pics de 48</w:t>
      </w:r>
      <w:r w:rsidRPr="00981FD9">
        <w:rPr>
          <w:rFonts w:ascii="Times New Roman" w:hAnsi="Times New Roman" w:cs="Times New Roman"/>
          <w:b/>
          <w:i/>
          <w:sz w:val="24"/>
          <w:szCs w:val="24"/>
        </w:rPr>
        <w:t xml:space="preserve"> à 49%. </w:t>
      </w:r>
    </w:p>
    <w:p w:rsidR="005D579A" w:rsidRPr="00AA5AE6" w:rsidRDefault="00F46A05" w:rsidP="008E4CE8">
      <w:pPr>
        <w:spacing w:after="0"/>
        <w:rPr>
          <w:rFonts w:ascii="Times New Roman" w:hAnsi="Times New Roman" w:cs="Times New Roman"/>
          <w:b/>
        </w:rPr>
      </w:pPr>
      <w:r>
        <w:rPr>
          <w:rFonts w:ascii="Times New Roman" w:hAnsi="Times New Roman" w:cs="Times New Roman"/>
          <w:b/>
        </w:rPr>
        <w:t>4.4</w:t>
      </w:r>
      <w:r w:rsidR="005D579A" w:rsidRPr="00AA5AE6">
        <w:rPr>
          <w:rFonts w:ascii="Times New Roman" w:hAnsi="Times New Roman" w:cs="Times New Roman"/>
          <w:b/>
        </w:rPr>
        <w:t>. Tableaux récapitulatif des données collectées par SADD sur le comportement des électeurs dans les différentes régions</w:t>
      </w:r>
    </w:p>
    <w:tbl>
      <w:tblPr>
        <w:tblStyle w:val="Grilledutableau"/>
        <w:tblW w:w="9923" w:type="dxa"/>
        <w:tblLayout w:type="fixed"/>
        <w:tblLook w:val="04A0" w:firstRow="1" w:lastRow="0" w:firstColumn="1" w:lastColumn="0" w:noHBand="0" w:noVBand="1"/>
      </w:tblPr>
      <w:tblGrid>
        <w:gridCol w:w="1560"/>
        <w:gridCol w:w="2268"/>
        <w:gridCol w:w="1984"/>
        <w:gridCol w:w="1418"/>
        <w:gridCol w:w="1559"/>
        <w:gridCol w:w="1134"/>
      </w:tblGrid>
      <w:tr w:rsidR="005D579A" w:rsidRPr="00B67184" w:rsidTr="000D28CA">
        <w:tc>
          <w:tcPr>
            <w:tcW w:w="1560" w:type="dxa"/>
            <w:shd w:val="clear" w:color="auto" w:fill="FFD966" w:themeFill="accent4" w:themeFillTint="99"/>
          </w:tcPr>
          <w:p w:rsidR="005D579A" w:rsidRPr="00B67184" w:rsidRDefault="005D579A" w:rsidP="008E4CE8">
            <w:pPr>
              <w:spacing w:after="0"/>
              <w:jc w:val="both"/>
              <w:rPr>
                <w:rFonts w:ascii="Times New Roman" w:hAnsi="Times New Roman" w:cs="Times New Roman"/>
                <w:b/>
                <w:sz w:val="18"/>
                <w:szCs w:val="18"/>
              </w:rPr>
            </w:pPr>
            <w:r>
              <w:rPr>
                <w:rFonts w:ascii="Times New Roman" w:hAnsi="Times New Roman" w:cs="Times New Roman"/>
                <w:b/>
                <w:sz w:val="18"/>
                <w:szCs w:val="18"/>
              </w:rPr>
              <w:t>DESIGNATION</w:t>
            </w:r>
          </w:p>
        </w:tc>
        <w:tc>
          <w:tcPr>
            <w:tcW w:w="2268" w:type="dxa"/>
            <w:shd w:val="clear" w:color="auto" w:fill="C5E0B3" w:themeFill="accent6" w:themeFillTint="66"/>
          </w:tcPr>
          <w:p w:rsidR="005D579A" w:rsidRPr="00B67184" w:rsidRDefault="005D579A" w:rsidP="008E4CE8">
            <w:pPr>
              <w:spacing w:after="0"/>
              <w:jc w:val="both"/>
              <w:rPr>
                <w:rFonts w:ascii="Times New Roman" w:hAnsi="Times New Roman" w:cs="Times New Roman"/>
                <w:b/>
                <w:sz w:val="18"/>
                <w:szCs w:val="18"/>
              </w:rPr>
            </w:pPr>
            <w:r w:rsidRPr="00B67184">
              <w:rPr>
                <w:rFonts w:ascii="Times New Roman" w:hAnsi="Times New Roman" w:cs="Times New Roman"/>
                <w:b/>
                <w:sz w:val="18"/>
                <w:szCs w:val="18"/>
              </w:rPr>
              <w:t>REGION MARITIME (</w:t>
            </w:r>
            <w:proofErr w:type="spellStart"/>
            <w:r w:rsidRPr="00B67184">
              <w:rPr>
                <w:rFonts w:ascii="Times New Roman" w:hAnsi="Times New Roman" w:cs="Times New Roman"/>
                <w:b/>
                <w:sz w:val="18"/>
                <w:szCs w:val="18"/>
              </w:rPr>
              <w:t>Lome</w:t>
            </w:r>
            <w:proofErr w:type="spellEnd"/>
            <w:r w:rsidRPr="00B67184">
              <w:rPr>
                <w:rFonts w:ascii="Times New Roman" w:hAnsi="Times New Roman" w:cs="Times New Roman"/>
                <w:b/>
                <w:sz w:val="18"/>
                <w:szCs w:val="18"/>
              </w:rPr>
              <w:t xml:space="preserve"> Golfe ; </w:t>
            </w:r>
            <w:proofErr w:type="spellStart"/>
            <w:r w:rsidRPr="00B67184">
              <w:rPr>
                <w:rFonts w:ascii="Times New Roman" w:hAnsi="Times New Roman" w:cs="Times New Roman"/>
                <w:b/>
                <w:sz w:val="18"/>
                <w:szCs w:val="18"/>
              </w:rPr>
              <w:t>Afagnan</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Afagnan</w:t>
            </w:r>
            <w:proofErr w:type="spellEnd"/>
            <w:r w:rsidRPr="00B67184">
              <w:rPr>
                <w:rFonts w:ascii="Times New Roman" w:hAnsi="Times New Roman" w:cs="Times New Roman"/>
                <w:b/>
                <w:sz w:val="18"/>
                <w:szCs w:val="18"/>
              </w:rPr>
              <w:t xml:space="preserve"> –</w:t>
            </w:r>
            <w:proofErr w:type="spellStart"/>
            <w:r w:rsidRPr="00B67184">
              <w:rPr>
                <w:rFonts w:ascii="Times New Roman" w:hAnsi="Times New Roman" w:cs="Times New Roman"/>
                <w:b/>
                <w:sz w:val="18"/>
                <w:szCs w:val="18"/>
              </w:rPr>
              <w:t>Gbletta</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Agome</w:t>
            </w:r>
            <w:proofErr w:type="spellEnd"/>
            <w:r w:rsidRPr="00B67184">
              <w:rPr>
                <w:rFonts w:ascii="Times New Roman" w:hAnsi="Times New Roman" w:cs="Times New Roman"/>
                <w:b/>
                <w:sz w:val="18"/>
                <w:szCs w:val="18"/>
              </w:rPr>
              <w:t xml:space="preserve"> </w:t>
            </w:r>
            <w:proofErr w:type="spellStart"/>
            <w:r w:rsidRPr="00B67184">
              <w:rPr>
                <w:rFonts w:ascii="Times New Roman" w:hAnsi="Times New Roman" w:cs="Times New Roman"/>
                <w:b/>
                <w:sz w:val="18"/>
                <w:szCs w:val="18"/>
              </w:rPr>
              <w:t>Glozou</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Attitogon</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Hahotoe</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Sevagan</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Kpeme</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Vogan</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Tsevie</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tabligbo</w:t>
            </w:r>
            <w:proofErr w:type="spellEnd"/>
            <w:r w:rsidRPr="00B67184">
              <w:rPr>
                <w:rFonts w:ascii="Times New Roman" w:hAnsi="Times New Roman" w:cs="Times New Roman"/>
                <w:b/>
                <w:sz w:val="18"/>
                <w:szCs w:val="18"/>
              </w:rPr>
              <w:t>)</w:t>
            </w:r>
          </w:p>
        </w:tc>
        <w:tc>
          <w:tcPr>
            <w:tcW w:w="1984" w:type="dxa"/>
            <w:shd w:val="clear" w:color="auto" w:fill="D5DCE4" w:themeFill="text2" w:themeFillTint="33"/>
          </w:tcPr>
          <w:p w:rsidR="005D579A" w:rsidRPr="00B67184" w:rsidRDefault="005D579A" w:rsidP="008E4CE8">
            <w:pPr>
              <w:spacing w:after="0"/>
              <w:jc w:val="both"/>
              <w:rPr>
                <w:rFonts w:ascii="Times New Roman" w:hAnsi="Times New Roman" w:cs="Times New Roman"/>
                <w:b/>
                <w:sz w:val="18"/>
                <w:szCs w:val="18"/>
              </w:rPr>
            </w:pPr>
            <w:r w:rsidRPr="00B67184">
              <w:rPr>
                <w:rFonts w:ascii="Times New Roman" w:hAnsi="Times New Roman" w:cs="Times New Roman"/>
                <w:b/>
                <w:sz w:val="18"/>
                <w:szCs w:val="18"/>
              </w:rPr>
              <w:t>REGION DES PLATEAUX (</w:t>
            </w:r>
            <w:proofErr w:type="spellStart"/>
            <w:r w:rsidRPr="00B67184">
              <w:rPr>
                <w:rFonts w:ascii="Times New Roman" w:hAnsi="Times New Roman" w:cs="Times New Roman"/>
                <w:b/>
                <w:sz w:val="18"/>
                <w:szCs w:val="18"/>
              </w:rPr>
              <w:t>Atakpame</w:t>
            </w:r>
            <w:proofErr w:type="spellEnd"/>
            <w:r w:rsidRPr="00B67184">
              <w:rPr>
                <w:rFonts w:ascii="Times New Roman" w:hAnsi="Times New Roman" w:cs="Times New Roman"/>
                <w:b/>
                <w:sz w:val="18"/>
                <w:szCs w:val="18"/>
              </w:rPr>
              <w:t> </w:t>
            </w:r>
            <w:proofErr w:type="gramStart"/>
            <w:r w:rsidRPr="00B67184">
              <w:rPr>
                <w:rFonts w:ascii="Times New Roman" w:hAnsi="Times New Roman" w:cs="Times New Roman"/>
                <w:b/>
                <w:sz w:val="18"/>
                <w:szCs w:val="18"/>
              </w:rPr>
              <w:t>;</w:t>
            </w:r>
            <w:proofErr w:type="spellStart"/>
            <w:r w:rsidRPr="00B67184">
              <w:rPr>
                <w:rFonts w:ascii="Times New Roman" w:hAnsi="Times New Roman" w:cs="Times New Roman"/>
                <w:b/>
                <w:sz w:val="18"/>
                <w:szCs w:val="18"/>
              </w:rPr>
              <w:t>Glei</w:t>
            </w:r>
            <w:proofErr w:type="spellEnd"/>
            <w:proofErr w:type="gramEnd"/>
            <w:r w:rsidRPr="00B67184">
              <w:rPr>
                <w:rFonts w:ascii="Times New Roman" w:hAnsi="Times New Roman" w:cs="Times New Roman"/>
                <w:b/>
                <w:sz w:val="18"/>
                <w:szCs w:val="18"/>
              </w:rPr>
              <w:t> ;</w:t>
            </w:r>
            <w:proofErr w:type="spellStart"/>
            <w:r w:rsidRPr="00B67184">
              <w:rPr>
                <w:rFonts w:ascii="Times New Roman" w:hAnsi="Times New Roman" w:cs="Times New Roman"/>
                <w:b/>
                <w:sz w:val="18"/>
                <w:szCs w:val="18"/>
              </w:rPr>
              <w:t>Hiheatro</w:t>
            </w:r>
            <w:proofErr w:type="spellEnd"/>
            <w:r w:rsidRPr="00B67184">
              <w:rPr>
                <w:rFonts w:ascii="Times New Roman" w:hAnsi="Times New Roman" w:cs="Times New Roman"/>
                <w:b/>
                <w:sz w:val="18"/>
                <w:szCs w:val="18"/>
              </w:rPr>
              <w:t xml:space="preserve"> ; Amou </w:t>
            </w:r>
            <w:proofErr w:type="spellStart"/>
            <w:r w:rsidRPr="00B67184">
              <w:rPr>
                <w:rFonts w:ascii="Times New Roman" w:hAnsi="Times New Roman" w:cs="Times New Roman"/>
                <w:b/>
                <w:sz w:val="18"/>
                <w:szCs w:val="18"/>
              </w:rPr>
              <w:t>Oblo</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Amlame</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Danyi</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Anie</w:t>
            </w:r>
            <w:proofErr w:type="spellEnd"/>
            <w:r w:rsidRPr="00B67184">
              <w:rPr>
                <w:rFonts w:ascii="Times New Roman" w:hAnsi="Times New Roman" w:cs="Times New Roman"/>
                <w:b/>
                <w:sz w:val="18"/>
                <w:szCs w:val="18"/>
              </w:rPr>
              <w:t>)</w:t>
            </w:r>
          </w:p>
        </w:tc>
        <w:tc>
          <w:tcPr>
            <w:tcW w:w="1418" w:type="dxa"/>
            <w:shd w:val="clear" w:color="auto" w:fill="C9C9C9" w:themeFill="accent3" w:themeFillTint="99"/>
          </w:tcPr>
          <w:p w:rsidR="005D579A" w:rsidRPr="00B67184" w:rsidRDefault="005D579A" w:rsidP="008E4CE8">
            <w:pPr>
              <w:spacing w:after="0"/>
              <w:jc w:val="both"/>
              <w:rPr>
                <w:rFonts w:ascii="Times New Roman" w:hAnsi="Times New Roman" w:cs="Times New Roman"/>
                <w:b/>
                <w:sz w:val="18"/>
                <w:szCs w:val="18"/>
              </w:rPr>
            </w:pPr>
            <w:r w:rsidRPr="00B67184">
              <w:rPr>
                <w:rFonts w:ascii="Times New Roman" w:hAnsi="Times New Roman" w:cs="Times New Roman"/>
                <w:b/>
                <w:sz w:val="18"/>
                <w:szCs w:val="18"/>
              </w:rPr>
              <w:t>REGION CENTRALE (</w:t>
            </w:r>
            <w:proofErr w:type="spellStart"/>
            <w:r w:rsidRPr="00B67184">
              <w:rPr>
                <w:rFonts w:ascii="Times New Roman" w:hAnsi="Times New Roman" w:cs="Times New Roman"/>
                <w:b/>
                <w:sz w:val="18"/>
                <w:szCs w:val="18"/>
              </w:rPr>
              <w:t>Blitta</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Sokode</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Sotouboua</w:t>
            </w:r>
            <w:proofErr w:type="spellEnd"/>
            <w:r w:rsidRPr="00B67184">
              <w:rPr>
                <w:rFonts w:ascii="Times New Roman" w:hAnsi="Times New Roman" w:cs="Times New Roman"/>
                <w:b/>
                <w:sz w:val="18"/>
                <w:szCs w:val="18"/>
              </w:rPr>
              <w:t xml:space="preserve"> ; </w:t>
            </w:r>
            <w:proofErr w:type="spellStart"/>
            <w:r w:rsidRPr="00B67184">
              <w:rPr>
                <w:rFonts w:ascii="Times New Roman" w:hAnsi="Times New Roman" w:cs="Times New Roman"/>
                <w:b/>
                <w:sz w:val="18"/>
                <w:szCs w:val="18"/>
              </w:rPr>
              <w:t>Pagala</w:t>
            </w:r>
            <w:proofErr w:type="spellEnd"/>
            <w:r w:rsidRPr="00B67184">
              <w:rPr>
                <w:rFonts w:ascii="Times New Roman" w:hAnsi="Times New Roman" w:cs="Times New Roman"/>
                <w:b/>
                <w:sz w:val="18"/>
                <w:szCs w:val="18"/>
              </w:rPr>
              <w:t>)</w:t>
            </w:r>
          </w:p>
        </w:tc>
        <w:tc>
          <w:tcPr>
            <w:tcW w:w="1559" w:type="dxa"/>
            <w:shd w:val="clear" w:color="auto" w:fill="A8D08D" w:themeFill="accent6" w:themeFillTint="99"/>
          </w:tcPr>
          <w:p w:rsidR="005D579A" w:rsidRPr="00B67184" w:rsidRDefault="005D579A" w:rsidP="008E4CE8">
            <w:pPr>
              <w:spacing w:after="0"/>
              <w:jc w:val="both"/>
              <w:rPr>
                <w:rFonts w:ascii="Times New Roman" w:hAnsi="Times New Roman" w:cs="Times New Roman"/>
                <w:b/>
                <w:sz w:val="18"/>
                <w:szCs w:val="18"/>
              </w:rPr>
            </w:pPr>
            <w:r w:rsidRPr="00B67184">
              <w:rPr>
                <w:rFonts w:ascii="Times New Roman" w:hAnsi="Times New Roman" w:cs="Times New Roman"/>
                <w:b/>
                <w:sz w:val="18"/>
                <w:szCs w:val="18"/>
              </w:rPr>
              <w:t>REGION DE LA KARA (</w:t>
            </w:r>
            <w:proofErr w:type="spellStart"/>
            <w:r w:rsidRPr="00B67184">
              <w:rPr>
                <w:rFonts w:ascii="Times New Roman" w:hAnsi="Times New Roman" w:cs="Times New Roman"/>
                <w:b/>
                <w:sz w:val="18"/>
                <w:szCs w:val="18"/>
              </w:rPr>
              <w:t>Pagouda</w:t>
            </w:r>
            <w:proofErr w:type="spellEnd"/>
            <w:r w:rsidRPr="00B67184">
              <w:rPr>
                <w:rFonts w:ascii="Times New Roman" w:hAnsi="Times New Roman" w:cs="Times New Roman"/>
                <w:b/>
                <w:sz w:val="18"/>
                <w:szCs w:val="18"/>
              </w:rPr>
              <w:t> ; Kara </w:t>
            </w:r>
            <w:proofErr w:type="gramStart"/>
            <w:r w:rsidRPr="00B67184">
              <w:rPr>
                <w:rFonts w:ascii="Times New Roman" w:hAnsi="Times New Roman" w:cs="Times New Roman"/>
                <w:b/>
                <w:sz w:val="18"/>
                <w:szCs w:val="18"/>
              </w:rPr>
              <w:t>;</w:t>
            </w:r>
            <w:proofErr w:type="spellStart"/>
            <w:r w:rsidRPr="00B67184">
              <w:rPr>
                <w:rFonts w:ascii="Times New Roman" w:hAnsi="Times New Roman" w:cs="Times New Roman"/>
                <w:b/>
                <w:sz w:val="18"/>
                <w:szCs w:val="18"/>
              </w:rPr>
              <w:t>Bangeli</w:t>
            </w:r>
            <w:proofErr w:type="spellEnd"/>
            <w:proofErr w:type="gramEnd"/>
            <w:r w:rsidRPr="00B67184">
              <w:rPr>
                <w:rFonts w:ascii="Times New Roman" w:hAnsi="Times New Roman" w:cs="Times New Roman"/>
                <w:b/>
                <w:sz w:val="18"/>
                <w:szCs w:val="18"/>
              </w:rPr>
              <w:t> ; Bassar)</w:t>
            </w:r>
          </w:p>
        </w:tc>
        <w:tc>
          <w:tcPr>
            <w:tcW w:w="1134" w:type="dxa"/>
            <w:shd w:val="clear" w:color="auto" w:fill="ACB9CA" w:themeFill="text2" w:themeFillTint="66"/>
          </w:tcPr>
          <w:p w:rsidR="005D579A" w:rsidRPr="00B67184" w:rsidRDefault="005D579A" w:rsidP="008E4CE8">
            <w:pPr>
              <w:spacing w:after="0"/>
              <w:jc w:val="both"/>
              <w:rPr>
                <w:rFonts w:ascii="Times New Roman" w:hAnsi="Times New Roman" w:cs="Times New Roman"/>
                <w:b/>
                <w:sz w:val="18"/>
                <w:szCs w:val="18"/>
              </w:rPr>
            </w:pPr>
            <w:r w:rsidRPr="00B67184">
              <w:rPr>
                <w:rFonts w:ascii="Times New Roman" w:hAnsi="Times New Roman" w:cs="Times New Roman"/>
                <w:b/>
                <w:sz w:val="18"/>
                <w:szCs w:val="18"/>
              </w:rPr>
              <w:t>REGION DES SAVANES (Dapaong)</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Nombre de centre</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121</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47</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81</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51</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11</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Nombre de bureau de vote</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509</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157</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159</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105</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32</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Inscrits</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color w:val="000000"/>
                <w:sz w:val="20"/>
                <w:szCs w:val="20"/>
                <w:lang w:eastAsia="fr-FR"/>
              </w:rPr>
              <w:t>233.018</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65444</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60898</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41207</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13516</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Votants</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color w:val="000000"/>
                <w:sz w:val="20"/>
                <w:szCs w:val="20"/>
                <w:lang w:eastAsia="fr-FR"/>
              </w:rPr>
              <w:t>75455</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20701</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39916</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18435</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6009</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Suffrage exprimés</w:t>
            </w:r>
          </w:p>
        </w:tc>
        <w:tc>
          <w:tcPr>
            <w:tcW w:w="2268" w:type="dxa"/>
            <w:shd w:val="clear" w:color="auto" w:fill="C5E0B3" w:themeFill="accent6" w:themeFillTint="66"/>
            <w:vAlign w:val="bottom"/>
          </w:tcPr>
          <w:p w:rsidR="005D579A" w:rsidRPr="00B67184" w:rsidRDefault="005D579A" w:rsidP="008E4CE8">
            <w:pPr>
              <w:spacing w:after="0"/>
              <w:jc w:val="right"/>
              <w:rPr>
                <w:rFonts w:ascii="Times New Roman" w:eastAsia="Times New Roman" w:hAnsi="Times New Roman" w:cs="Times New Roman"/>
                <w:b/>
                <w:color w:val="000000"/>
                <w:sz w:val="20"/>
                <w:szCs w:val="20"/>
                <w:lang w:eastAsia="fr-FR"/>
              </w:rPr>
            </w:pPr>
            <w:r w:rsidRPr="00B67184">
              <w:rPr>
                <w:rFonts w:ascii="Times New Roman" w:eastAsia="Times New Roman" w:hAnsi="Times New Roman" w:cs="Times New Roman"/>
                <w:b/>
                <w:color w:val="000000"/>
                <w:sz w:val="20"/>
                <w:szCs w:val="20"/>
                <w:lang w:eastAsia="fr-FR"/>
              </w:rPr>
              <w:t>70369</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19627</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38809</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17735</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5772</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Bulletins nuls</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color w:val="000000"/>
                <w:sz w:val="20"/>
                <w:szCs w:val="20"/>
                <w:lang w:eastAsia="fr-FR"/>
              </w:rPr>
              <w:t>5086</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1074</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1107</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700</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237</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Bulletins contestés</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color w:val="000000"/>
                <w:sz w:val="20"/>
                <w:szCs w:val="20"/>
                <w:lang w:eastAsia="fr-FR"/>
              </w:rPr>
              <w:t>1141</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0</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0</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10</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eastAsia="Times New Roman" w:hAnsi="Times New Roman" w:cs="Times New Roman"/>
                <w:b/>
                <w:bCs/>
                <w:color w:val="000000"/>
                <w:sz w:val="20"/>
                <w:szCs w:val="20"/>
                <w:lang w:eastAsia="fr-FR"/>
              </w:rPr>
              <w:t>34</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bCs/>
                <w:sz w:val="20"/>
                <w:szCs w:val="20"/>
              </w:rPr>
              <w:t>taux de participation</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32,38%</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31,63%</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65,54%</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44,73%</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44,45%</w:t>
            </w:r>
          </w:p>
        </w:tc>
      </w:tr>
      <w:tr w:rsidR="005D579A" w:rsidRPr="00B67184" w:rsidTr="000D28CA">
        <w:tc>
          <w:tcPr>
            <w:tcW w:w="1560" w:type="dxa"/>
            <w:shd w:val="clear" w:color="auto" w:fill="FFD966" w:themeFill="accent4" w:themeFillTint="99"/>
          </w:tcPr>
          <w:p w:rsidR="005D579A" w:rsidRPr="00B67184" w:rsidRDefault="005D579A" w:rsidP="008E4CE8">
            <w:pPr>
              <w:spacing w:after="0"/>
              <w:rPr>
                <w:rFonts w:ascii="Times New Roman" w:hAnsi="Times New Roman" w:cs="Times New Roman"/>
                <w:b/>
                <w:sz w:val="20"/>
                <w:szCs w:val="20"/>
              </w:rPr>
            </w:pPr>
            <w:r w:rsidRPr="00B67184">
              <w:rPr>
                <w:rFonts w:ascii="Times New Roman" w:hAnsi="Times New Roman" w:cs="Times New Roman"/>
                <w:b/>
                <w:sz w:val="20"/>
                <w:szCs w:val="20"/>
              </w:rPr>
              <w:t>Taux d’abstention</w:t>
            </w:r>
          </w:p>
        </w:tc>
        <w:tc>
          <w:tcPr>
            <w:tcW w:w="2268" w:type="dxa"/>
            <w:shd w:val="clear" w:color="auto" w:fill="C5E0B3" w:themeFill="accent6"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67,62%</w:t>
            </w:r>
          </w:p>
        </w:tc>
        <w:tc>
          <w:tcPr>
            <w:tcW w:w="1984" w:type="dxa"/>
            <w:shd w:val="clear" w:color="auto" w:fill="D5DCE4" w:themeFill="text2" w:themeFillTint="33"/>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68,37%</w:t>
            </w:r>
          </w:p>
        </w:tc>
        <w:tc>
          <w:tcPr>
            <w:tcW w:w="1418" w:type="dxa"/>
            <w:shd w:val="clear" w:color="auto" w:fill="C9C9C9" w:themeFill="accent3"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34,46%</w:t>
            </w:r>
          </w:p>
        </w:tc>
        <w:tc>
          <w:tcPr>
            <w:tcW w:w="1559" w:type="dxa"/>
            <w:shd w:val="clear" w:color="auto" w:fill="A8D08D" w:themeFill="accent6" w:themeFillTint="99"/>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55,27%</w:t>
            </w:r>
          </w:p>
        </w:tc>
        <w:tc>
          <w:tcPr>
            <w:tcW w:w="1134" w:type="dxa"/>
            <w:shd w:val="clear" w:color="auto" w:fill="ACB9CA" w:themeFill="text2" w:themeFillTint="66"/>
          </w:tcPr>
          <w:p w:rsidR="005D579A" w:rsidRPr="00B67184" w:rsidRDefault="005D579A" w:rsidP="008E4CE8">
            <w:pPr>
              <w:spacing w:after="0"/>
              <w:jc w:val="right"/>
              <w:rPr>
                <w:rFonts w:ascii="Times New Roman" w:hAnsi="Times New Roman" w:cs="Times New Roman"/>
                <w:b/>
                <w:sz w:val="20"/>
                <w:szCs w:val="20"/>
              </w:rPr>
            </w:pPr>
            <w:r w:rsidRPr="00B67184">
              <w:rPr>
                <w:rFonts w:ascii="Times New Roman" w:hAnsi="Times New Roman" w:cs="Times New Roman"/>
                <w:b/>
                <w:sz w:val="20"/>
                <w:szCs w:val="20"/>
              </w:rPr>
              <w:t>55,55%</w:t>
            </w:r>
          </w:p>
        </w:tc>
      </w:tr>
    </w:tbl>
    <w:p w:rsidR="005D579A" w:rsidRDefault="005D579A" w:rsidP="005D579A">
      <w:pPr>
        <w:spacing w:after="0"/>
        <w:jc w:val="both"/>
        <w:rPr>
          <w:rFonts w:ascii="Times New Roman" w:hAnsi="Times New Roman" w:cs="Times New Roman"/>
          <w:sz w:val="24"/>
          <w:szCs w:val="24"/>
        </w:rPr>
      </w:pPr>
    </w:p>
    <w:p w:rsidR="00483822"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t>En revanche, le taux de participation</w:t>
      </w:r>
      <w:r>
        <w:rPr>
          <w:rFonts w:ascii="Times New Roman" w:hAnsi="Times New Roman" w:cs="Times New Roman"/>
          <w:sz w:val="24"/>
          <w:szCs w:val="24"/>
        </w:rPr>
        <w:t xml:space="preserve"> et d’abstention</w:t>
      </w:r>
      <w:r w:rsidRPr="00B67184">
        <w:rPr>
          <w:rFonts w:ascii="Times New Roman" w:hAnsi="Times New Roman" w:cs="Times New Roman"/>
          <w:sz w:val="24"/>
          <w:szCs w:val="24"/>
        </w:rPr>
        <w:t xml:space="preserve"> relevé par SADD </w:t>
      </w:r>
      <w:r>
        <w:rPr>
          <w:rFonts w:ascii="Times New Roman" w:hAnsi="Times New Roman" w:cs="Times New Roman"/>
          <w:sz w:val="24"/>
          <w:szCs w:val="24"/>
        </w:rPr>
        <w:t xml:space="preserve">porte </w:t>
      </w:r>
      <w:r w:rsidRPr="00B67184">
        <w:rPr>
          <w:rFonts w:ascii="Times New Roman" w:hAnsi="Times New Roman" w:cs="Times New Roman"/>
          <w:sz w:val="24"/>
          <w:szCs w:val="24"/>
        </w:rPr>
        <w:t xml:space="preserve">sur un échantillon de </w:t>
      </w:r>
      <w:r w:rsidRPr="00B67184">
        <w:rPr>
          <w:rFonts w:ascii="Times New Roman" w:eastAsia="Times New Roman" w:hAnsi="Times New Roman" w:cs="Times New Roman"/>
          <w:b/>
          <w:bCs/>
          <w:color w:val="000000"/>
          <w:sz w:val="24"/>
          <w:szCs w:val="24"/>
          <w:lang w:eastAsia="fr-FR"/>
        </w:rPr>
        <w:t>414.083 inscrits et de 160.516</w:t>
      </w:r>
      <w:r>
        <w:rPr>
          <w:rFonts w:ascii="Times New Roman" w:eastAsia="Times New Roman" w:hAnsi="Times New Roman" w:cs="Times New Roman"/>
          <w:b/>
          <w:bCs/>
          <w:color w:val="000000"/>
          <w:sz w:val="24"/>
          <w:szCs w:val="24"/>
          <w:lang w:eastAsia="fr-FR"/>
        </w:rPr>
        <w:t xml:space="preserve"> votants</w:t>
      </w:r>
      <w:r w:rsidRPr="00B67184">
        <w:rPr>
          <w:rFonts w:ascii="Times New Roman" w:eastAsia="Times New Roman" w:hAnsi="Times New Roman" w:cs="Times New Roman"/>
          <w:b/>
          <w:bCs/>
          <w:color w:val="000000"/>
          <w:sz w:val="24"/>
          <w:szCs w:val="24"/>
          <w:lang w:eastAsia="fr-FR"/>
        </w:rPr>
        <w:t xml:space="preserve"> </w:t>
      </w:r>
      <w:r w:rsidRPr="00AA5AE6">
        <w:rPr>
          <w:rFonts w:ascii="Times New Roman" w:eastAsia="Times New Roman" w:hAnsi="Times New Roman" w:cs="Times New Roman"/>
          <w:bCs/>
          <w:color w:val="000000"/>
          <w:sz w:val="24"/>
          <w:szCs w:val="24"/>
          <w:lang w:eastAsia="fr-FR"/>
        </w:rPr>
        <w:t>du territoire couvert</w:t>
      </w:r>
      <w:r>
        <w:rPr>
          <w:rFonts w:ascii="Times New Roman" w:eastAsia="Times New Roman" w:hAnsi="Times New Roman" w:cs="Times New Roman"/>
          <w:b/>
          <w:bCs/>
          <w:color w:val="000000"/>
          <w:sz w:val="24"/>
          <w:szCs w:val="24"/>
          <w:lang w:eastAsia="fr-FR"/>
        </w:rPr>
        <w:t xml:space="preserve"> et </w:t>
      </w:r>
      <w:r w:rsidRPr="00B67184">
        <w:rPr>
          <w:rFonts w:ascii="Times New Roman" w:hAnsi="Times New Roman" w:cs="Times New Roman"/>
          <w:sz w:val="24"/>
          <w:szCs w:val="24"/>
        </w:rPr>
        <w:t xml:space="preserve">est </w:t>
      </w:r>
      <w:r>
        <w:rPr>
          <w:rFonts w:ascii="Times New Roman" w:hAnsi="Times New Roman" w:cs="Times New Roman"/>
          <w:sz w:val="24"/>
          <w:szCs w:val="24"/>
        </w:rPr>
        <w:t xml:space="preserve">successivement </w:t>
      </w:r>
      <w:r w:rsidRPr="00B67184">
        <w:rPr>
          <w:rFonts w:ascii="Times New Roman" w:hAnsi="Times New Roman" w:cs="Times New Roman"/>
          <w:sz w:val="24"/>
          <w:szCs w:val="24"/>
        </w:rPr>
        <w:t xml:space="preserve">de </w:t>
      </w:r>
      <w:r w:rsidRPr="00B67184">
        <w:rPr>
          <w:rFonts w:ascii="Times New Roman" w:hAnsi="Times New Roman" w:cs="Times New Roman"/>
          <w:b/>
          <w:sz w:val="24"/>
          <w:szCs w:val="24"/>
        </w:rPr>
        <w:t>38,76%</w:t>
      </w:r>
      <w:r w:rsidRPr="00B67184">
        <w:rPr>
          <w:rFonts w:ascii="Times New Roman" w:hAnsi="Times New Roman" w:cs="Times New Roman"/>
          <w:sz w:val="24"/>
          <w:szCs w:val="24"/>
        </w:rPr>
        <w:t xml:space="preserve"> </w:t>
      </w:r>
      <w:r w:rsidR="003D5105">
        <w:rPr>
          <w:rFonts w:ascii="Times New Roman" w:hAnsi="Times New Roman" w:cs="Times New Roman"/>
          <w:sz w:val="24"/>
          <w:szCs w:val="24"/>
        </w:rPr>
        <w:t xml:space="preserve">participation </w:t>
      </w:r>
      <w:r w:rsidRPr="00B67184">
        <w:rPr>
          <w:rFonts w:ascii="Times New Roman" w:hAnsi="Times New Roman" w:cs="Times New Roman"/>
          <w:sz w:val="24"/>
          <w:szCs w:val="24"/>
        </w:rPr>
        <w:t xml:space="preserve">et de </w:t>
      </w:r>
      <w:r w:rsidRPr="00B67184">
        <w:rPr>
          <w:rFonts w:ascii="Times New Roman" w:hAnsi="Times New Roman" w:cs="Times New Roman"/>
          <w:b/>
          <w:sz w:val="24"/>
          <w:szCs w:val="24"/>
        </w:rPr>
        <w:t>61,24%</w:t>
      </w:r>
      <w:r w:rsidRPr="00B67184">
        <w:rPr>
          <w:rFonts w:ascii="Times New Roman" w:hAnsi="Times New Roman" w:cs="Times New Roman"/>
          <w:sz w:val="24"/>
          <w:szCs w:val="24"/>
        </w:rPr>
        <w:t xml:space="preserve"> d’abstention.</w:t>
      </w:r>
    </w:p>
    <w:p w:rsidR="00483822" w:rsidRPr="00483822" w:rsidRDefault="00F46A05" w:rsidP="00483822">
      <w:pPr>
        <w:rPr>
          <w:rFonts w:ascii="Times New Roman" w:hAnsi="Times New Roman" w:cs="Times New Roman"/>
          <w:b/>
        </w:rPr>
      </w:pPr>
      <w:r>
        <w:rPr>
          <w:rFonts w:ascii="Times New Roman" w:hAnsi="Times New Roman" w:cs="Times New Roman"/>
          <w:b/>
        </w:rPr>
        <w:t>4.5</w:t>
      </w:r>
      <w:r w:rsidR="00483822">
        <w:rPr>
          <w:rFonts w:ascii="Times New Roman" w:hAnsi="Times New Roman" w:cs="Times New Roman"/>
          <w:b/>
        </w:rPr>
        <w:t xml:space="preserve">. </w:t>
      </w:r>
      <w:r w:rsidR="00483822" w:rsidRPr="00CB2B7F">
        <w:rPr>
          <w:rFonts w:ascii="Times New Roman" w:hAnsi="Times New Roman" w:cs="Times New Roman"/>
          <w:b/>
        </w:rPr>
        <w:t>La transparence des élections locales</w:t>
      </w:r>
    </w:p>
    <w:p w:rsidR="005D579A" w:rsidRPr="00B67184"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t xml:space="preserve">Pour avoir un fichier électoral acceptable, la CENI a procédé à </w:t>
      </w:r>
      <w:r w:rsidRPr="00B67184">
        <w:rPr>
          <w:rFonts w:ascii="Times New Roman" w:eastAsia="Times New Roman" w:hAnsi="Times New Roman" w:cs="Times New Roman"/>
          <w:sz w:val="24"/>
          <w:szCs w:val="24"/>
          <w:lang w:eastAsia="fr-FR"/>
        </w:rPr>
        <w:t xml:space="preserve">des opérations de </w:t>
      </w:r>
      <w:proofErr w:type="spellStart"/>
      <w:r w:rsidRPr="00B67184">
        <w:rPr>
          <w:rFonts w:ascii="Times New Roman" w:eastAsia="Times New Roman" w:hAnsi="Times New Roman" w:cs="Times New Roman"/>
          <w:sz w:val="24"/>
          <w:szCs w:val="24"/>
          <w:lang w:eastAsia="fr-FR"/>
        </w:rPr>
        <w:t>dédoublonnage</w:t>
      </w:r>
      <w:proofErr w:type="spellEnd"/>
      <w:r w:rsidRPr="00B67184">
        <w:rPr>
          <w:rFonts w:ascii="Times New Roman" w:eastAsia="Times New Roman" w:hAnsi="Times New Roman" w:cs="Times New Roman"/>
          <w:sz w:val="24"/>
          <w:szCs w:val="24"/>
          <w:lang w:eastAsia="fr-FR"/>
        </w:rPr>
        <w:t xml:space="preserve"> qui ont permis de supprimer </w:t>
      </w:r>
      <w:r w:rsidRPr="00B67184">
        <w:rPr>
          <w:rFonts w:ascii="Times New Roman" w:eastAsia="Times New Roman" w:hAnsi="Times New Roman" w:cs="Times New Roman"/>
          <w:b/>
          <w:sz w:val="24"/>
          <w:szCs w:val="24"/>
          <w:lang w:eastAsia="fr-FR"/>
        </w:rPr>
        <w:t>42.885 doublons</w:t>
      </w:r>
      <w:r w:rsidRPr="00B67184">
        <w:rPr>
          <w:rFonts w:ascii="Times New Roman" w:eastAsia="Times New Roman" w:hAnsi="Times New Roman" w:cs="Times New Roman"/>
          <w:sz w:val="24"/>
          <w:szCs w:val="24"/>
          <w:lang w:eastAsia="fr-FR"/>
        </w:rPr>
        <w:t xml:space="preserve"> pour </w:t>
      </w:r>
      <w:r w:rsidRPr="00B67184">
        <w:rPr>
          <w:rFonts w:ascii="Times New Roman" w:eastAsiaTheme="minorEastAsia" w:hAnsi="Times New Roman" w:cs="Times New Roman"/>
          <w:sz w:val="24"/>
          <w:szCs w:val="24"/>
          <w:lang w:eastAsia="fr-FR"/>
        </w:rPr>
        <w:t xml:space="preserve">avoir une liste provisoire de </w:t>
      </w:r>
      <w:r w:rsidRPr="00B67184">
        <w:rPr>
          <w:rFonts w:ascii="Times New Roman" w:eastAsia="Times New Roman" w:hAnsi="Times New Roman" w:cs="Times New Roman"/>
          <w:b/>
          <w:sz w:val="24"/>
          <w:szCs w:val="24"/>
          <w:lang w:eastAsia="fr-FR"/>
        </w:rPr>
        <w:t xml:space="preserve">3.423.639 </w:t>
      </w:r>
      <w:r w:rsidRPr="00B67184">
        <w:rPr>
          <w:rFonts w:ascii="Times New Roman" w:eastAsiaTheme="minorEastAsia" w:hAnsi="Times New Roman" w:cs="Times New Roman"/>
          <w:sz w:val="24"/>
          <w:szCs w:val="24"/>
          <w:lang w:eastAsia="fr-FR"/>
        </w:rPr>
        <w:t xml:space="preserve">électeurs </w:t>
      </w:r>
      <w:r w:rsidRPr="00B67184">
        <w:rPr>
          <w:rFonts w:ascii="Times New Roman" w:eastAsia="Times New Roman" w:hAnsi="Times New Roman" w:cs="Times New Roman"/>
          <w:b/>
          <w:sz w:val="24"/>
          <w:szCs w:val="24"/>
          <w:lang w:eastAsia="fr-FR"/>
        </w:rPr>
        <w:t xml:space="preserve"> </w:t>
      </w:r>
      <w:r w:rsidRPr="00B67184">
        <w:rPr>
          <w:rFonts w:ascii="Times New Roman" w:eastAsia="Times New Roman" w:hAnsi="Times New Roman" w:cs="Times New Roman"/>
          <w:sz w:val="24"/>
          <w:szCs w:val="24"/>
          <w:lang w:eastAsia="fr-FR"/>
        </w:rPr>
        <w:t>à raison de</w:t>
      </w:r>
      <w:r w:rsidRPr="00B67184">
        <w:rPr>
          <w:rFonts w:ascii="Times New Roman" w:eastAsia="Times New Roman" w:hAnsi="Times New Roman" w:cs="Times New Roman"/>
          <w:b/>
          <w:sz w:val="24"/>
          <w:szCs w:val="24"/>
          <w:lang w:eastAsia="fr-FR"/>
        </w:rPr>
        <w:t xml:space="preserve"> 166.819 hommes </w:t>
      </w:r>
      <w:r w:rsidRPr="00B67184">
        <w:rPr>
          <w:rFonts w:ascii="Times New Roman" w:eastAsia="Times New Roman" w:hAnsi="Times New Roman" w:cs="Times New Roman"/>
          <w:sz w:val="24"/>
          <w:szCs w:val="24"/>
          <w:lang w:eastAsia="fr-FR"/>
        </w:rPr>
        <w:t>et</w:t>
      </w:r>
      <w:r w:rsidRPr="00B67184">
        <w:rPr>
          <w:rFonts w:ascii="Times New Roman" w:eastAsia="Times New Roman" w:hAnsi="Times New Roman" w:cs="Times New Roman"/>
          <w:b/>
          <w:sz w:val="24"/>
          <w:szCs w:val="24"/>
          <w:lang w:eastAsia="fr-FR"/>
        </w:rPr>
        <w:t xml:space="preserve"> 1.799.705 femmes</w:t>
      </w:r>
      <w:r w:rsidRPr="00B67184">
        <w:rPr>
          <w:rFonts w:ascii="Times New Roman" w:eastAsia="Times New Roman" w:hAnsi="Times New Roman" w:cs="Times New Roman"/>
          <w:sz w:val="24"/>
          <w:szCs w:val="24"/>
          <w:lang w:eastAsia="fr-FR"/>
        </w:rPr>
        <w:t>.</w:t>
      </w:r>
    </w:p>
    <w:p w:rsidR="005D579A" w:rsidRPr="00B67184"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t xml:space="preserve">Malgré cette opération de </w:t>
      </w:r>
      <w:proofErr w:type="spellStart"/>
      <w:r w:rsidRPr="00B67184">
        <w:rPr>
          <w:rFonts w:ascii="Times New Roman" w:eastAsia="Times New Roman" w:hAnsi="Times New Roman" w:cs="Times New Roman"/>
          <w:sz w:val="24"/>
          <w:szCs w:val="24"/>
          <w:lang w:eastAsia="fr-FR"/>
        </w:rPr>
        <w:t>dédoublonnage</w:t>
      </w:r>
      <w:proofErr w:type="spellEnd"/>
      <w:r w:rsidR="000B2588">
        <w:rPr>
          <w:rFonts w:ascii="Times New Roman" w:eastAsia="Times New Roman" w:hAnsi="Times New Roman" w:cs="Times New Roman"/>
          <w:sz w:val="24"/>
          <w:szCs w:val="24"/>
          <w:lang w:eastAsia="fr-FR"/>
        </w:rPr>
        <w:t>,</w:t>
      </w:r>
      <w:r w:rsidRPr="00B67184">
        <w:rPr>
          <w:rFonts w:ascii="Times New Roman" w:hAnsi="Times New Roman" w:cs="Times New Roman"/>
          <w:sz w:val="24"/>
          <w:szCs w:val="24"/>
        </w:rPr>
        <w:t xml:space="preserve"> force est de constater que le processus électoral ayant conduit à l’élection de ces conseillers est entaché d’un </w:t>
      </w:r>
      <w:r w:rsidR="00371711" w:rsidRPr="00B67184">
        <w:rPr>
          <w:rFonts w:ascii="Times New Roman" w:hAnsi="Times New Roman" w:cs="Times New Roman"/>
          <w:sz w:val="24"/>
          <w:szCs w:val="24"/>
        </w:rPr>
        <w:t>certain</w:t>
      </w:r>
      <w:r w:rsidRPr="00B67184">
        <w:rPr>
          <w:rFonts w:ascii="Times New Roman" w:hAnsi="Times New Roman" w:cs="Times New Roman"/>
          <w:sz w:val="24"/>
          <w:szCs w:val="24"/>
        </w:rPr>
        <w:t xml:space="preserve"> nombre d’irrégularités qui pose</w:t>
      </w:r>
      <w:r w:rsidR="000B2588">
        <w:rPr>
          <w:rFonts w:ascii="Times New Roman" w:hAnsi="Times New Roman" w:cs="Times New Roman"/>
          <w:sz w:val="24"/>
          <w:szCs w:val="24"/>
        </w:rPr>
        <w:t>nt</w:t>
      </w:r>
      <w:r w:rsidRPr="00B67184">
        <w:rPr>
          <w:rFonts w:ascii="Times New Roman" w:hAnsi="Times New Roman" w:cs="Times New Roman"/>
          <w:sz w:val="24"/>
          <w:szCs w:val="24"/>
        </w:rPr>
        <w:t xml:space="preserve"> problème en termes de  transparence comme le confirme la Chambre administrative de la Cour Suprême du Togo, qui a annulé les résultats dans les communes de </w:t>
      </w:r>
      <w:proofErr w:type="spellStart"/>
      <w:r w:rsidRPr="00B67184">
        <w:rPr>
          <w:rFonts w:ascii="Times New Roman" w:hAnsi="Times New Roman" w:cs="Times New Roman"/>
          <w:b/>
          <w:sz w:val="24"/>
          <w:szCs w:val="24"/>
        </w:rPr>
        <w:lastRenderedPageBreak/>
        <w:t>Wawa</w:t>
      </w:r>
      <w:proofErr w:type="spellEnd"/>
      <w:r w:rsidRPr="00B67184">
        <w:rPr>
          <w:rFonts w:ascii="Times New Roman" w:hAnsi="Times New Roman" w:cs="Times New Roman"/>
          <w:b/>
          <w:sz w:val="24"/>
          <w:szCs w:val="24"/>
        </w:rPr>
        <w:t xml:space="preserve"> 1</w:t>
      </w:r>
      <w:r w:rsidRPr="00B67184">
        <w:rPr>
          <w:rFonts w:ascii="Times New Roman" w:hAnsi="Times New Roman" w:cs="Times New Roman"/>
          <w:sz w:val="24"/>
          <w:szCs w:val="24"/>
        </w:rPr>
        <w:t xml:space="preserve"> dans la région des plateaux et de </w:t>
      </w:r>
      <w:proofErr w:type="spellStart"/>
      <w:r w:rsidRPr="00B67184">
        <w:rPr>
          <w:rFonts w:ascii="Times New Roman" w:hAnsi="Times New Roman" w:cs="Times New Roman"/>
          <w:b/>
          <w:sz w:val="24"/>
          <w:szCs w:val="24"/>
        </w:rPr>
        <w:t>Zio</w:t>
      </w:r>
      <w:proofErr w:type="spellEnd"/>
      <w:r w:rsidRPr="00B67184">
        <w:rPr>
          <w:rFonts w:ascii="Times New Roman" w:hAnsi="Times New Roman" w:cs="Times New Roman"/>
          <w:b/>
          <w:sz w:val="24"/>
          <w:szCs w:val="24"/>
        </w:rPr>
        <w:t xml:space="preserve"> 4</w:t>
      </w:r>
      <w:r w:rsidRPr="00B67184">
        <w:rPr>
          <w:rFonts w:ascii="Times New Roman" w:hAnsi="Times New Roman" w:cs="Times New Roman"/>
          <w:sz w:val="24"/>
          <w:szCs w:val="24"/>
        </w:rPr>
        <w:t xml:space="preserve"> dans </w:t>
      </w:r>
      <w:r w:rsidR="000B2588">
        <w:rPr>
          <w:rFonts w:ascii="Times New Roman" w:hAnsi="Times New Roman" w:cs="Times New Roman"/>
          <w:sz w:val="24"/>
          <w:szCs w:val="24"/>
        </w:rPr>
        <w:t>la région maritime pour cause «</w:t>
      </w:r>
      <w:r w:rsidRPr="00B67184">
        <w:rPr>
          <w:rFonts w:ascii="Times New Roman" w:hAnsi="Times New Roman" w:cs="Times New Roman"/>
          <w:sz w:val="24"/>
          <w:szCs w:val="24"/>
        </w:rPr>
        <w:t xml:space="preserve">d’irrégularités notoires » en s’appuyant sur l’article 148 du code électoral à la suite de la publication des résultats définitifs des élections locales.  La Cour Suprême ayant confirmé l’élection de 1464 conseillers municipaux le 17 juillet 2019, a rejeté les 39 recours en contestation ou en annulation des voix introduites par les candidats et partis politiques qui estiment avoir été lésés ou avoir été témoins de fraudes avérées. </w:t>
      </w:r>
    </w:p>
    <w:p w:rsidR="005D579A" w:rsidRPr="00804016" w:rsidRDefault="005D579A" w:rsidP="005D579A">
      <w:pPr>
        <w:jc w:val="both"/>
        <w:rPr>
          <w:rFonts w:ascii="Times New Roman" w:hAnsi="Times New Roman" w:cs="Times New Roman"/>
          <w:sz w:val="24"/>
          <w:szCs w:val="24"/>
        </w:rPr>
      </w:pPr>
      <w:r w:rsidRPr="00B67184">
        <w:rPr>
          <w:rFonts w:ascii="Times New Roman" w:hAnsi="Times New Roman" w:cs="Times New Roman"/>
          <w:sz w:val="24"/>
          <w:szCs w:val="24"/>
        </w:rPr>
        <w:t xml:space="preserve">De l’avis de certains observateurs de la vie publique du Togo, les élections ont été émaillées de fraudes massives qui entachent la crédibilité des élections. Selon </w:t>
      </w:r>
      <w:r w:rsidRPr="00B67184">
        <w:rPr>
          <w:rFonts w:ascii="Times New Roman" w:hAnsi="Times New Roman" w:cs="Times New Roman"/>
          <w:b/>
          <w:sz w:val="24"/>
          <w:szCs w:val="24"/>
        </w:rPr>
        <w:t xml:space="preserve">Brigitte </w:t>
      </w:r>
      <w:proofErr w:type="spellStart"/>
      <w:r w:rsidRPr="00B67184">
        <w:rPr>
          <w:rFonts w:ascii="Times New Roman" w:hAnsi="Times New Roman" w:cs="Times New Roman"/>
          <w:b/>
          <w:sz w:val="24"/>
          <w:szCs w:val="24"/>
        </w:rPr>
        <w:t>Kafui</w:t>
      </w:r>
      <w:proofErr w:type="spellEnd"/>
      <w:r w:rsidRPr="00B67184">
        <w:rPr>
          <w:rFonts w:ascii="Times New Roman" w:hAnsi="Times New Roman" w:cs="Times New Roman"/>
          <w:b/>
          <w:sz w:val="24"/>
          <w:szCs w:val="24"/>
        </w:rPr>
        <w:t xml:space="preserve"> </w:t>
      </w:r>
      <w:proofErr w:type="spellStart"/>
      <w:r w:rsidRPr="00B67184">
        <w:rPr>
          <w:rFonts w:ascii="Times New Roman" w:hAnsi="Times New Roman" w:cs="Times New Roman"/>
          <w:b/>
          <w:sz w:val="24"/>
          <w:szCs w:val="24"/>
        </w:rPr>
        <w:t>Adjamagbo</w:t>
      </w:r>
      <w:proofErr w:type="spellEnd"/>
      <w:r w:rsidRPr="00B67184">
        <w:rPr>
          <w:rFonts w:ascii="Times New Roman" w:hAnsi="Times New Roman" w:cs="Times New Roman"/>
          <w:b/>
          <w:sz w:val="24"/>
          <w:szCs w:val="24"/>
        </w:rPr>
        <w:t>-Johnson</w:t>
      </w:r>
      <w:r w:rsidRPr="00B67184">
        <w:rPr>
          <w:rFonts w:ascii="Times New Roman" w:hAnsi="Times New Roman" w:cs="Times New Roman"/>
          <w:sz w:val="24"/>
          <w:szCs w:val="24"/>
        </w:rPr>
        <w:t xml:space="preserve">, plusieurs anomalies graves ont entaché la fiabilité des élections locales. Ces anomalies sont entre autres : la révision des listes électorales totalement biaisée, le  refus délibéré de la CENI de sensibiliser les populations togolaises à participer aux élections locales, les conditions discriminatoires dans lesquelles les listes de l’opposition ont </w:t>
      </w:r>
      <w:r w:rsidRPr="00981FD9">
        <w:rPr>
          <w:rFonts w:ascii="Times New Roman" w:hAnsi="Times New Roman" w:cs="Times New Roman"/>
          <w:sz w:val="24"/>
          <w:szCs w:val="24"/>
        </w:rPr>
        <w:t xml:space="preserve">été invalidées dont 12 de la C14. La C14 dénonce également de nombreux bourrages d’urnes </w:t>
      </w:r>
      <w:r w:rsidRPr="00804016">
        <w:rPr>
          <w:rFonts w:ascii="Times New Roman" w:hAnsi="Times New Roman" w:cs="Times New Roman"/>
          <w:sz w:val="24"/>
          <w:szCs w:val="24"/>
        </w:rPr>
        <w:t xml:space="preserve">et des personnes prises en flagrant délit de fraude. </w:t>
      </w:r>
    </w:p>
    <w:p w:rsidR="005D579A" w:rsidRPr="00981FD9" w:rsidRDefault="005D579A" w:rsidP="005D579A">
      <w:pPr>
        <w:jc w:val="both"/>
        <w:rPr>
          <w:rFonts w:ascii="Times New Roman" w:hAnsi="Times New Roman" w:cs="Times New Roman"/>
          <w:b/>
          <w:i/>
          <w:sz w:val="24"/>
          <w:szCs w:val="24"/>
        </w:rPr>
      </w:pPr>
      <w:r w:rsidRPr="00981FD9">
        <w:rPr>
          <w:rFonts w:ascii="Times New Roman" w:hAnsi="Times New Roman" w:cs="Times New Roman"/>
          <w:b/>
          <w:i/>
          <w:sz w:val="24"/>
          <w:szCs w:val="24"/>
        </w:rPr>
        <w:t xml:space="preserve">Dans la région maritime dans la circonscription électorale  </w:t>
      </w:r>
      <w:proofErr w:type="spellStart"/>
      <w:r w:rsidRPr="00981FD9">
        <w:rPr>
          <w:rFonts w:ascii="Times New Roman" w:hAnsi="Times New Roman" w:cs="Times New Roman"/>
          <w:b/>
          <w:i/>
          <w:sz w:val="24"/>
          <w:szCs w:val="24"/>
        </w:rPr>
        <w:t>Zio</w:t>
      </w:r>
      <w:proofErr w:type="spellEnd"/>
      <w:r w:rsidRPr="00981FD9">
        <w:rPr>
          <w:rFonts w:ascii="Times New Roman" w:hAnsi="Times New Roman" w:cs="Times New Roman"/>
          <w:b/>
          <w:i/>
          <w:sz w:val="24"/>
          <w:szCs w:val="24"/>
        </w:rPr>
        <w:t xml:space="preserve"> 1 dans le bureau de vote N° 1, de l’EPP </w:t>
      </w:r>
      <w:proofErr w:type="spellStart"/>
      <w:r w:rsidRPr="00981FD9">
        <w:rPr>
          <w:rFonts w:ascii="Times New Roman" w:hAnsi="Times New Roman" w:cs="Times New Roman"/>
          <w:b/>
          <w:i/>
          <w:sz w:val="24"/>
          <w:szCs w:val="24"/>
        </w:rPr>
        <w:t>Gblainvié</w:t>
      </w:r>
      <w:proofErr w:type="spellEnd"/>
      <w:r w:rsidRPr="00981FD9">
        <w:rPr>
          <w:rFonts w:ascii="Times New Roman" w:hAnsi="Times New Roman" w:cs="Times New Roman"/>
          <w:b/>
          <w:i/>
          <w:sz w:val="24"/>
          <w:szCs w:val="24"/>
        </w:rPr>
        <w:t xml:space="preserve">, sur 399 inscrits et 277 votants, 450 bulletins sont retrouvés dans l’urne et contestés. Même son de cloche dans le bureau de vote N°4 de l’EPP </w:t>
      </w:r>
      <w:proofErr w:type="spellStart"/>
      <w:r w:rsidRPr="00981FD9">
        <w:rPr>
          <w:rFonts w:ascii="Times New Roman" w:hAnsi="Times New Roman" w:cs="Times New Roman"/>
          <w:b/>
          <w:i/>
          <w:sz w:val="24"/>
          <w:szCs w:val="24"/>
        </w:rPr>
        <w:t>Gblainvié</w:t>
      </w:r>
      <w:proofErr w:type="spellEnd"/>
      <w:r w:rsidRPr="00981FD9">
        <w:rPr>
          <w:rFonts w:ascii="Times New Roman" w:hAnsi="Times New Roman" w:cs="Times New Roman"/>
          <w:b/>
          <w:i/>
          <w:sz w:val="24"/>
          <w:szCs w:val="24"/>
        </w:rPr>
        <w:t>, sur 398 inscrits et 357 votants, 450 bulletins sont également retrouvés dans l’urne et contestés.</w:t>
      </w:r>
    </w:p>
    <w:p w:rsidR="00F46A05" w:rsidRPr="00A42C78" w:rsidRDefault="00F46A05" w:rsidP="00F46A0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4.6. </w:t>
      </w:r>
      <w:r w:rsidRPr="00336B92">
        <w:rPr>
          <w:rFonts w:ascii="Times New Roman" w:hAnsi="Times New Roman" w:cs="Times New Roman"/>
          <w:b/>
          <w:sz w:val="20"/>
          <w:szCs w:val="20"/>
        </w:rPr>
        <w:t>Tableau</w:t>
      </w:r>
      <w:r>
        <w:rPr>
          <w:rFonts w:ascii="Times New Roman" w:hAnsi="Times New Roman" w:cs="Times New Roman"/>
          <w:b/>
          <w:sz w:val="20"/>
          <w:szCs w:val="20"/>
        </w:rPr>
        <w:t xml:space="preserve"> SADD</w:t>
      </w:r>
      <w:r w:rsidRPr="00336B92">
        <w:rPr>
          <w:rFonts w:ascii="Times New Roman" w:hAnsi="Times New Roman" w:cs="Times New Roman"/>
          <w:b/>
          <w:sz w:val="20"/>
          <w:szCs w:val="20"/>
        </w:rPr>
        <w:t xml:space="preserve"> montrant les bulletins contestés</w:t>
      </w:r>
      <w:r>
        <w:rPr>
          <w:rFonts w:ascii="Times New Roman" w:hAnsi="Times New Roman" w:cs="Times New Roman"/>
          <w:b/>
          <w:sz w:val="20"/>
          <w:szCs w:val="20"/>
        </w:rPr>
        <w:t xml:space="preserve"> du regard citoyen</w:t>
      </w:r>
    </w:p>
    <w:tbl>
      <w:tblPr>
        <w:tblW w:w="8946" w:type="dxa"/>
        <w:jc w:val="center"/>
        <w:tblInd w:w="55" w:type="dxa"/>
        <w:tblCellMar>
          <w:left w:w="70" w:type="dxa"/>
          <w:right w:w="70" w:type="dxa"/>
        </w:tblCellMar>
        <w:tblLook w:val="04A0" w:firstRow="1" w:lastRow="0" w:firstColumn="1" w:lastColumn="0" w:noHBand="0" w:noVBand="1"/>
      </w:tblPr>
      <w:tblGrid>
        <w:gridCol w:w="1200"/>
        <w:gridCol w:w="1200"/>
        <w:gridCol w:w="1300"/>
        <w:gridCol w:w="1674"/>
        <w:gridCol w:w="681"/>
        <w:gridCol w:w="850"/>
        <w:gridCol w:w="993"/>
        <w:gridCol w:w="1134"/>
      </w:tblGrid>
      <w:tr w:rsidR="00F46A05" w:rsidRPr="00F46A05" w:rsidTr="0044319D">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Préfecture</w:t>
            </w:r>
          </w:p>
        </w:tc>
        <w:tc>
          <w:tcPr>
            <w:tcW w:w="1200" w:type="dxa"/>
            <w:tcBorders>
              <w:top w:val="single" w:sz="4" w:space="0" w:color="auto"/>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Commune</w:t>
            </w:r>
          </w:p>
        </w:tc>
        <w:tc>
          <w:tcPr>
            <w:tcW w:w="1300" w:type="dxa"/>
            <w:tcBorders>
              <w:top w:val="single" w:sz="4" w:space="0" w:color="auto"/>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Localité</w:t>
            </w:r>
          </w:p>
        </w:tc>
        <w:tc>
          <w:tcPr>
            <w:tcW w:w="1588" w:type="dxa"/>
            <w:tcBorders>
              <w:top w:val="single" w:sz="4" w:space="0" w:color="auto"/>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CRV</w:t>
            </w:r>
          </w:p>
        </w:tc>
        <w:tc>
          <w:tcPr>
            <w:tcW w:w="681" w:type="dxa"/>
            <w:tcBorders>
              <w:top w:val="single" w:sz="4" w:space="0" w:color="auto"/>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BV</w:t>
            </w:r>
          </w:p>
        </w:tc>
        <w:tc>
          <w:tcPr>
            <w:tcW w:w="85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Inscrits</w:t>
            </w:r>
          </w:p>
        </w:tc>
        <w:tc>
          <w:tcPr>
            <w:tcW w:w="99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Votants</w:t>
            </w:r>
          </w:p>
        </w:tc>
        <w:tc>
          <w:tcPr>
            <w:tcW w:w="1134" w:type="dxa"/>
            <w:tcBorders>
              <w:top w:val="single" w:sz="4" w:space="0" w:color="auto"/>
              <w:left w:val="nil"/>
              <w:bottom w:val="single" w:sz="4" w:space="0" w:color="auto"/>
              <w:right w:val="single" w:sz="4" w:space="0" w:color="auto"/>
            </w:tcBorders>
            <w:shd w:val="clear" w:color="auto" w:fill="00B0F0"/>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Bulletins contestés</w:t>
            </w:r>
          </w:p>
        </w:tc>
      </w:tr>
      <w:tr w:rsidR="00F46A05" w:rsidRPr="00F46A05" w:rsidTr="0044319D">
        <w:trPr>
          <w:trHeight w:val="593"/>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Vo</w:t>
            </w:r>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Vo 3</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 </w:t>
            </w:r>
          </w:p>
        </w:tc>
        <w:tc>
          <w:tcPr>
            <w:tcW w:w="1588" w:type="dxa"/>
            <w:tcBorders>
              <w:top w:val="nil"/>
              <w:left w:val="nil"/>
              <w:bottom w:val="single" w:sz="4" w:space="0" w:color="auto"/>
              <w:right w:val="single" w:sz="4" w:space="0" w:color="auto"/>
            </w:tcBorders>
            <w:shd w:val="clear" w:color="auto" w:fill="538135" w:themeFill="accent6" w:themeFillShade="BF"/>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EPP AGBEDEHONOU</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198</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188</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40</w:t>
            </w:r>
          </w:p>
        </w:tc>
      </w:tr>
      <w:tr w:rsidR="00F46A05" w:rsidRPr="00F46A05" w:rsidTr="0044319D">
        <w:trPr>
          <w:trHeight w:val="418"/>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Zio</w:t>
            </w:r>
            <w:proofErr w:type="spellEnd"/>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Zio</w:t>
            </w:r>
            <w:proofErr w:type="spellEnd"/>
            <w:r w:rsidRPr="00F46A05">
              <w:rPr>
                <w:rFonts w:ascii="Times New Roman" w:eastAsia="Times New Roman" w:hAnsi="Times New Roman" w:cs="Times New Roman"/>
                <w:color w:val="000000"/>
                <w:sz w:val="20"/>
                <w:szCs w:val="20"/>
                <w:lang w:eastAsia="fr-FR"/>
              </w:rPr>
              <w:t xml:space="preserve"> 1</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Gblainvié</w:t>
            </w:r>
            <w:proofErr w:type="spellEnd"/>
          </w:p>
        </w:tc>
        <w:tc>
          <w:tcPr>
            <w:tcW w:w="1588" w:type="dxa"/>
            <w:tcBorders>
              <w:top w:val="nil"/>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EPP GBLAINVIE</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399</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277</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450</w:t>
            </w:r>
          </w:p>
        </w:tc>
      </w:tr>
      <w:tr w:rsidR="00F46A05" w:rsidRPr="00F46A05" w:rsidTr="0044319D">
        <w:trPr>
          <w:trHeight w:val="483"/>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Zio</w:t>
            </w:r>
            <w:proofErr w:type="spellEnd"/>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Zio</w:t>
            </w:r>
            <w:proofErr w:type="spellEnd"/>
            <w:r w:rsidRPr="00F46A05">
              <w:rPr>
                <w:rFonts w:ascii="Times New Roman" w:eastAsia="Times New Roman" w:hAnsi="Times New Roman" w:cs="Times New Roman"/>
                <w:color w:val="000000"/>
                <w:sz w:val="20"/>
                <w:szCs w:val="20"/>
                <w:lang w:eastAsia="fr-FR"/>
              </w:rPr>
              <w:t xml:space="preserve"> 1</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Gblainvié</w:t>
            </w:r>
            <w:proofErr w:type="spellEnd"/>
          </w:p>
        </w:tc>
        <w:tc>
          <w:tcPr>
            <w:tcW w:w="1588" w:type="dxa"/>
            <w:tcBorders>
              <w:top w:val="nil"/>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EPP GBLAINVIE</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398</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357</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450</w:t>
            </w:r>
          </w:p>
        </w:tc>
      </w:tr>
      <w:tr w:rsidR="00F46A05" w:rsidRPr="00F46A05" w:rsidTr="0044319D">
        <w:trPr>
          <w:trHeight w:val="419"/>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Golfe</w:t>
            </w:r>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Golfe 2</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w:t>
            </w:r>
          </w:p>
        </w:tc>
        <w:tc>
          <w:tcPr>
            <w:tcW w:w="1588" w:type="dxa"/>
            <w:tcBorders>
              <w:top w:val="nil"/>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CEG ATTIEGOU</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7</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499</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103</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12</w:t>
            </w:r>
          </w:p>
        </w:tc>
      </w:tr>
      <w:tr w:rsidR="00F46A05" w:rsidRPr="00F46A05" w:rsidTr="0044319D">
        <w:trPr>
          <w:trHeight w:val="445"/>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Golfe</w:t>
            </w:r>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Golfe 7</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w:t>
            </w:r>
          </w:p>
        </w:tc>
        <w:tc>
          <w:tcPr>
            <w:tcW w:w="1588" w:type="dxa"/>
            <w:tcBorders>
              <w:top w:val="nil"/>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EPP SEGBE</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5</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479</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140</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136</w:t>
            </w:r>
          </w:p>
        </w:tc>
      </w:tr>
      <w:tr w:rsidR="00F46A05" w:rsidRPr="00F46A05" w:rsidTr="0044319D">
        <w:trPr>
          <w:trHeight w:val="443"/>
          <w:jc w:val="center"/>
        </w:trPr>
        <w:tc>
          <w:tcPr>
            <w:tcW w:w="120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Tone</w:t>
            </w:r>
            <w:proofErr w:type="spellEnd"/>
          </w:p>
        </w:tc>
        <w:tc>
          <w:tcPr>
            <w:tcW w:w="1200"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proofErr w:type="spellStart"/>
            <w:r w:rsidRPr="00F46A05">
              <w:rPr>
                <w:rFonts w:ascii="Times New Roman" w:eastAsia="Times New Roman" w:hAnsi="Times New Roman" w:cs="Times New Roman"/>
                <w:color w:val="000000"/>
                <w:sz w:val="20"/>
                <w:szCs w:val="20"/>
                <w:lang w:eastAsia="fr-FR"/>
              </w:rPr>
              <w:t>Tone</w:t>
            </w:r>
            <w:proofErr w:type="spellEnd"/>
            <w:r w:rsidRPr="00F46A05">
              <w:rPr>
                <w:rFonts w:ascii="Times New Roman" w:eastAsia="Times New Roman" w:hAnsi="Times New Roman" w:cs="Times New Roman"/>
                <w:color w:val="000000"/>
                <w:sz w:val="20"/>
                <w:szCs w:val="20"/>
                <w:lang w:eastAsia="fr-FR"/>
              </w:rPr>
              <w:t xml:space="preserve"> 1</w:t>
            </w:r>
          </w:p>
        </w:tc>
        <w:tc>
          <w:tcPr>
            <w:tcW w:w="1300" w:type="dxa"/>
            <w:tcBorders>
              <w:top w:val="nil"/>
              <w:left w:val="nil"/>
              <w:bottom w:val="single" w:sz="4" w:space="0" w:color="auto"/>
              <w:right w:val="single" w:sz="4" w:space="0" w:color="auto"/>
            </w:tcBorders>
            <w:shd w:val="clear" w:color="auto" w:fill="FFD966" w:themeFill="accent4"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w:t>
            </w:r>
          </w:p>
        </w:tc>
        <w:tc>
          <w:tcPr>
            <w:tcW w:w="1588" w:type="dxa"/>
            <w:tcBorders>
              <w:top w:val="nil"/>
              <w:left w:val="nil"/>
              <w:bottom w:val="single" w:sz="4" w:space="0" w:color="auto"/>
              <w:right w:val="single" w:sz="4" w:space="0" w:color="auto"/>
            </w:tcBorders>
            <w:shd w:val="clear" w:color="auto" w:fill="538135" w:themeFill="accent6" w:themeFillShade="BF"/>
            <w:noWrap/>
            <w:vAlign w:val="center"/>
            <w:hideMark/>
          </w:tcPr>
          <w:p w:rsidR="00F46A05" w:rsidRPr="00F46A05" w:rsidRDefault="00F46A05" w:rsidP="00F46A05">
            <w:pPr>
              <w:spacing w:after="0" w:line="240" w:lineRule="auto"/>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EPP TOAGA</w:t>
            </w:r>
          </w:p>
        </w:tc>
        <w:tc>
          <w:tcPr>
            <w:tcW w:w="681" w:type="dxa"/>
            <w:tcBorders>
              <w:top w:val="nil"/>
              <w:left w:val="nil"/>
              <w:bottom w:val="single" w:sz="4" w:space="0" w:color="auto"/>
              <w:right w:val="single" w:sz="4" w:space="0" w:color="auto"/>
            </w:tcBorders>
            <w:shd w:val="clear" w:color="auto" w:fill="C45911" w:themeFill="accent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w:t>
            </w:r>
          </w:p>
        </w:tc>
        <w:tc>
          <w:tcPr>
            <w:tcW w:w="850"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401</w:t>
            </w:r>
          </w:p>
        </w:tc>
        <w:tc>
          <w:tcPr>
            <w:tcW w:w="993" w:type="dxa"/>
            <w:tcBorders>
              <w:top w:val="nil"/>
              <w:left w:val="nil"/>
              <w:bottom w:val="single" w:sz="4" w:space="0" w:color="auto"/>
              <w:right w:val="single" w:sz="4" w:space="0" w:color="auto"/>
            </w:tcBorders>
            <w:shd w:val="clear" w:color="auto" w:fill="AEAAAA" w:themeFill="background2" w:themeFillShade="BF"/>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250</w:t>
            </w:r>
          </w:p>
        </w:tc>
        <w:tc>
          <w:tcPr>
            <w:tcW w:w="1134" w:type="dxa"/>
            <w:tcBorders>
              <w:top w:val="nil"/>
              <w:left w:val="nil"/>
              <w:bottom w:val="single" w:sz="4" w:space="0" w:color="auto"/>
              <w:right w:val="single" w:sz="4" w:space="0" w:color="auto"/>
            </w:tcBorders>
            <w:shd w:val="clear" w:color="auto" w:fill="00B0F0"/>
            <w:noWrap/>
            <w:vAlign w:val="center"/>
            <w:hideMark/>
          </w:tcPr>
          <w:p w:rsidR="00F46A05" w:rsidRPr="00F46A05" w:rsidRDefault="00F46A05" w:rsidP="00F46A05">
            <w:pPr>
              <w:spacing w:after="0" w:line="240" w:lineRule="auto"/>
              <w:jc w:val="right"/>
              <w:rPr>
                <w:rFonts w:ascii="Times New Roman" w:eastAsia="Times New Roman" w:hAnsi="Times New Roman" w:cs="Times New Roman"/>
                <w:color w:val="000000"/>
                <w:sz w:val="20"/>
                <w:szCs w:val="20"/>
                <w:lang w:eastAsia="fr-FR"/>
              </w:rPr>
            </w:pPr>
            <w:r w:rsidRPr="00F46A05">
              <w:rPr>
                <w:rFonts w:ascii="Times New Roman" w:eastAsia="Times New Roman" w:hAnsi="Times New Roman" w:cs="Times New Roman"/>
                <w:color w:val="000000"/>
                <w:sz w:val="20"/>
                <w:szCs w:val="20"/>
                <w:lang w:eastAsia="fr-FR"/>
              </w:rPr>
              <w:t>15</w:t>
            </w:r>
          </w:p>
        </w:tc>
      </w:tr>
      <w:tr w:rsidR="00F46A05" w:rsidRPr="00F46A05" w:rsidTr="0044319D">
        <w:trPr>
          <w:trHeight w:val="349"/>
          <w:jc w:val="center"/>
        </w:trPr>
        <w:tc>
          <w:tcPr>
            <w:tcW w:w="5969" w:type="dxa"/>
            <w:gridSpan w:val="5"/>
            <w:tcBorders>
              <w:top w:val="single" w:sz="4" w:space="0" w:color="auto"/>
              <w:left w:val="single" w:sz="4" w:space="0" w:color="auto"/>
              <w:bottom w:val="single" w:sz="4" w:space="0" w:color="auto"/>
              <w:right w:val="single" w:sz="4" w:space="0" w:color="000000"/>
            </w:tcBorders>
            <w:shd w:val="clear" w:color="auto" w:fill="FFC000"/>
            <w:noWrap/>
            <w:vAlign w:val="center"/>
            <w:hideMark/>
          </w:tcPr>
          <w:p w:rsidR="00F46A05" w:rsidRPr="00F46A05" w:rsidRDefault="00F46A05" w:rsidP="00F46A05">
            <w:pPr>
              <w:spacing w:after="0" w:line="240" w:lineRule="auto"/>
              <w:jc w:val="center"/>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TOTAL</w:t>
            </w:r>
          </w:p>
        </w:tc>
        <w:tc>
          <w:tcPr>
            <w:tcW w:w="850" w:type="dxa"/>
            <w:tcBorders>
              <w:top w:val="nil"/>
              <w:left w:val="nil"/>
              <w:bottom w:val="single" w:sz="4" w:space="0" w:color="auto"/>
              <w:right w:val="single" w:sz="4" w:space="0" w:color="auto"/>
            </w:tcBorders>
            <w:shd w:val="clear" w:color="auto" w:fill="FFC000"/>
            <w:noWrap/>
            <w:vAlign w:val="center"/>
            <w:hideMark/>
          </w:tcPr>
          <w:p w:rsidR="00F46A05" w:rsidRPr="00F46A05" w:rsidRDefault="00F46A05" w:rsidP="00F46A05">
            <w:pPr>
              <w:spacing w:after="0" w:line="240" w:lineRule="auto"/>
              <w:jc w:val="right"/>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2374</w:t>
            </w:r>
          </w:p>
        </w:tc>
        <w:tc>
          <w:tcPr>
            <w:tcW w:w="993" w:type="dxa"/>
            <w:tcBorders>
              <w:top w:val="nil"/>
              <w:left w:val="nil"/>
              <w:bottom w:val="single" w:sz="4" w:space="0" w:color="auto"/>
              <w:right w:val="single" w:sz="4" w:space="0" w:color="auto"/>
            </w:tcBorders>
            <w:shd w:val="clear" w:color="auto" w:fill="FFC000"/>
            <w:noWrap/>
            <w:vAlign w:val="center"/>
            <w:hideMark/>
          </w:tcPr>
          <w:p w:rsidR="00F46A05" w:rsidRPr="00F46A05" w:rsidRDefault="00F46A05" w:rsidP="00F46A05">
            <w:pPr>
              <w:spacing w:after="0" w:line="240" w:lineRule="auto"/>
              <w:jc w:val="right"/>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1315</w:t>
            </w:r>
          </w:p>
        </w:tc>
        <w:tc>
          <w:tcPr>
            <w:tcW w:w="1134" w:type="dxa"/>
            <w:tcBorders>
              <w:top w:val="nil"/>
              <w:left w:val="nil"/>
              <w:bottom w:val="single" w:sz="4" w:space="0" w:color="auto"/>
              <w:right w:val="single" w:sz="4" w:space="0" w:color="auto"/>
            </w:tcBorders>
            <w:shd w:val="clear" w:color="auto" w:fill="FFC000"/>
            <w:noWrap/>
            <w:vAlign w:val="center"/>
            <w:hideMark/>
          </w:tcPr>
          <w:p w:rsidR="00F46A05" w:rsidRPr="00F46A05" w:rsidRDefault="00F46A05" w:rsidP="00F46A05">
            <w:pPr>
              <w:spacing w:after="0" w:line="240" w:lineRule="auto"/>
              <w:jc w:val="right"/>
              <w:rPr>
                <w:rFonts w:ascii="Times New Roman" w:eastAsia="Times New Roman" w:hAnsi="Times New Roman" w:cs="Times New Roman"/>
                <w:b/>
                <w:bCs/>
                <w:color w:val="000000"/>
                <w:sz w:val="20"/>
                <w:szCs w:val="20"/>
                <w:lang w:eastAsia="fr-FR"/>
              </w:rPr>
            </w:pPr>
            <w:r w:rsidRPr="00F46A05">
              <w:rPr>
                <w:rFonts w:ascii="Times New Roman" w:eastAsia="Times New Roman" w:hAnsi="Times New Roman" w:cs="Times New Roman"/>
                <w:b/>
                <w:bCs/>
                <w:color w:val="000000"/>
                <w:sz w:val="20"/>
                <w:szCs w:val="20"/>
                <w:lang w:eastAsia="fr-FR"/>
              </w:rPr>
              <w:t>1103</w:t>
            </w:r>
          </w:p>
        </w:tc>
      </w:tr>
    </w:tbl>
    <w:p w:rsidR="00F46A05" w:rsidRPr="00F46A05" w:rsidRDefault="00F46A05" w:rsidP="005D579A">
      <w:pPr>
        <w:jc w:val="both"/>
        <w:rPr>
          <w:rFonts w:ascii="Times New Roman" w:hAnsi="Times New Roman" w:cs="Times New Roman"/>
          <w:sz w:val="16"/>
          <w:szCs w:val="16"/>
        </w:rPr>
      </w:pPr>
    </w:p>
    <w:p w:rsidR="005D579A" w:rsidRDefault="008E4CE8" w:rsidP="005D579A">
      <w:pPr>
        <w:jc w:val="both"/>
        <w:rPr>
          <w:rFonts w:ascii="Times New Roman" w:hAnsi="Times New Roman" w:cs="Times New Roman"/>
          <w:sz w:val="24"/>
          <w:szCs w:val="24"/>
        </w:rPr>
      </w:pPr>
      <w:r w:rsidRPr="00B67184">
        <w:rPr>
          <w:rFonts w:ascii="Times New Roman" w:hAnsi="Times New Roman" w:cs="Times New Roman"/>
          <w:sz w:val="24"/>
          <w:szCs w:val="24"/>
        </w:rPr>
        <w:t>Au terme du suivi indépendant des élections locales mené par SADD, les chiffres des résultats obser</w:t>
      </w:r>
      <w:r w:rsidR="00981FD9">
        <w:rPr>
          <w:rFonts w:ascii="Times New Roman" w:hAnsi="Times New Roman" w:cs="Times New Roman"/>
          <w:sz w:val="24"/>
          <w:szCs w:val="24"/>
        </w:rPr>
        <w:t>vés du regard citoyen ont montré</w:t>
      </w:r>
      <w:r w:rsidRPr="00B67184">
        <w:rPr>
          <w:rFonts w:ascii="Times New Roman" w:hAnsi="Times New Roman" w:cs="Times New Roman"/>
          <w:sz w:val="24"/>
          <w:szCs w:val="24"/>
        </w:rPr>
        <w:t xml:space="preserve"> des incohérences notoires dans certaines circonscriptions électorales, le nombre de votants dépassant largement le nombre d’inscrits et d’importants bulletins </w:t>
      </w:r>
      <w:r w:rsidR="000B2588">
        <w:rPr>
          <w:rFonts w:ascii="Times New Roman" w:hAnsi="Times New Roman" w:cs="Times New Roman"/>
          <w:sz w:val="24"/>
          <w:szCs w:val="24"/>
        </w:rPr>
        <w:t>contestés. Ce qui constitue à n’en</w:t>
      </w:r>
      <w:r w:rsidRPr="00B67184">
        <w:rPr>
          <w:rFonts w:ascii="Times New Roman" w:hAnsi="Times New Roman" w:cs="Times New Roman"/>
          <w:sz w:val="24"/>
          <w:szCs w:val="24"/>
        </w:rPr>
        <w:t xml:space="preserve"> pas douter des preuves flagrantes de bourrage</w:t>
      </w:r>
      <w:r w:rsidR="000B2588">
        <w:rPr>
          <w:rFonts w:ascii="Times New Roman" w:hAnsi="Times New Roman" w:cs="Times New Roman"/>
          <w:sz w:val="24"/>
          <w:szCs w:val="24"/>
        </w:rPr>
        <w:t>s</w:t>
      </w:r>
      <w:r w:rsidRPr="00B67184">
        <w:rPr>
          <w:rFonts w:ascii="Times New Roman" w:hAnsi="Times New Roman" w:cs="Times New Roman"/>
          <w:sz w:val="24"/>
          <w:szCs w:val="24"/>
        </w:rPr>
        <w:t xml:space="preserve"> d’urne</w:t>
      </w:r>
      <w:r w:rsidR="000B2588">
        <w:rPr>
          <w:rFonts w:ascii="Times New Roman" w:hAnsi="Times New Roman" w:cs="Times New Roman"/>
          <w:sz w:val="24"/>
          <w:szCs w:val="24"/>
        </w:rPr>
        <w:t>s</w:t>
      </w:r>
      <w:r w:rsidRPr="00B67184">
        <w:rPr>
          <w:rFonts w:ascii="Times New Roman" w:hAnsi="Times New Roman" w:cs="Times New Roman"/>
          <w:sz w:val="24"/>
          <w:szCs w:val="24"/>
        </w:rPr>
        <w:t xml:space="preserve"> et de fraudes avérées à grande échelle mettant en difficulté l’administration</w:t>
      </w:r>
      <w:r w:rsidRPr="00E451AD">
        <w:rPr>
          <w:rFonts w:ascii="Times New Roman" w:hAnsi="Times New Roman" w:cs="Times New Roman"/>
          <w:color w:val="FF0000"/>
          <w:sz w:val="24"/>
          <w:szCs w:val="24"/>
        </w:rPr>
        <w:t xml:space="preserve"> </w:t>
      </w:r>
      <w:r w:rsidRPr="00B67184">
        <w:rPr>
          <w:rFonts w:ascii="Times New Roman" w:hAnsi="Times New Roman" w:cs="Times New Roman"/>
          <w:sz w:val="24"/>
          <w:szCs w:val="24"/>
        </w:rPr>
        <w:t>électorale et la Cour Suprême</w:t>
      </w:r>
      <w:r w:rsidR="00483822">
        <w:rPr>
          <w:rFonts w:ascii="Times New Roman" w:hAnsi="Times New Roman" w:cs="Times New Roman"/>
          <w:sz w:val="24"/>
          <w:szCs w:val="24"/>
        </w:rPr>
        <w:t>.</w:t>
      </w:r>
    </w:p>
    <w:p w:rsidR="00F46A05" w:rsidRDefault="00F46A05" w:rsidP="00F46A05">
      <w:pPr>
        <w:jc w:val="both"/>
        <w:rPr>
          <w:rFonts w:ascii="Times New Roman" w:hAnsi="Times New Roman" w:cs="Times New Roman"/>
          <w:b/>
          <w:sz w:val="24"/>
          <w:szCs w:val="24"/>
        </w:rPr>
      </w:pPr>
    </w:p>
    <w:p w:rsidR="00F46A05" w:rsidRDefault="00F46A05" w:rsidP="00F46A05">
      <w:pPr>
        <w:jc w:val="both"/>
        <w:rPr>
          <w:rFonts w:ascii="Times New Roman" w:hAnsi="Times New Roman" w:cs="Times New Roman"/>
          <w:b/>
          <w:sz w:val="24"/>
          <w:szCs w:val="24"/>
        </w:rPr>
      </w:pPr>
    </w:p>
    <w:p w:rsidR="00371711" w:rsidRDefault="00371711" w:rsidP="00F46A05">
      <w:pPr>
        <w:jc w:val="both"/>
        <w:rPr>
          <w:rFonts w:ascii="Times New Roman" w:hAnsi="Times New Roman" w:cs="Times New Roman"/>
          <w:b/>
          <w:sz w:val="24"/>
          <w:szCs w:val="24"/>
        </w:rPr>
      </w:pPr>
    </w:p>
    <w:p w:rsidR="00F46A05" w:rsidRPr="00F46A05" w:rsidRDefault="00F46A05" w:rsidP="00F46A0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4.7. </w:t>
      </w:r>
      <w:r w:rsidR="00483822" w:rsidRPr="00F46A05">
        <w:rPr>
          <w:rFonts w:ascii="Times New Roman" w:hAnsi="Times New Roman" w:cs="Times New Roman"/>
          <w:b/>
          <w:sz w:val="24"/>
          <w:szCs w:val="24"/>
        </w:rPr>
        <w:t>Tableau récapitulatif montrant les incohérences entre les inscrits et les votants ;</w:t>
      </w:r>
    </w:p>
    <w:tbl>
      <w:tblPr>
        <w:tblW w:w="9840" w:type="dxa"/>
        <w:jc w:val="center"/>
        <w:tblInd w:w="55" w:type="dxa"/>
        <w:tblCellMar>
          <w:left w:w="70" w:type="dxa"/>
          <w:right w:w="70" w:type="dxa"/>
        </w:tblCellMar>
        <w:tblLook w:val="04A0" w:firstRow="1" w:lastRow="0" w:firstColumn="1" w:lastColumn="0" w:noHBand="0" w:noVBand="1"/>
      </w:tblPr>
      <w:tblGrid>
        <w:gridCol w:w="1115"/>
        <w:gridCol w:w="1469"/>
        <w:gridCol w:w="1019"/>
        <w:gridCol w:w="42"/>
        <w:gridCol w:w="2148"/>
        <w:gridCol w:w="503"/>
        <w:gridCol w:w="1134"/>
        <w:gridCol w:w="1276"/>
        <w:gridCol w:w="1134"/>
      </w:tblGrid>
      <w:tr w:rsidR="00F46A05" w:rsidRPr="00370C9E" w:rsidTr="0044319D">
        <w:trPr>
          <w:trHeight w:val="600"/>
          <w:jc w:val="center"/>
        </w:trPr>
        <w:tc>
          <w:tcPr>
            <w:tcW w:w="111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Préfecture</w:t>
            </w:r>
          </w:p>
        </w:tc>
        <w:tc>
          <w:tcPr>
            <w:tcW w:w="146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Commune</w:t>
            </w:r>
          </w:p>
        </w:tc>
        <w:tc>
          <w:tcPr>
            <w:tcW w:w="1019"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Localité</w:t>
            </w:r>
          </w:p>
        </w:tc>
        <w:tc>
          <w:tcPr>
            <w:tcW w:w="2190"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CRV</w:t>
            </w:r>
          </w:p>
        </w:tc>
        <w:tc>
          <w:tcPr>
            <w:tcW w:w="503"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BV</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Inscrits (I)</w:t>
            </w:r>
          </w:p>
        </w:tc>
        <w:tc>
          <w:tcPr>
            <w:tcW w:w="1276"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Votants (V)</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rsidR="00F46A05" w:rsidRPr="00370C9E" w:rsidRDefault="00F46A05" w:rsidP="000D28CA">
            <w:pPr>
              <w:spacing w:after="0" w:line="240" w:lineRule="auto"/>
              <w:jc w:val="center"/>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Différence     (I-V)</w:t>
            </w:r>
          </w:p>
        </w:tc>
      </w:tr>
      <w:tr w:rsidR="00F46A05" w:rsidRPr="00370C9E" w:rsidTr="0044319D">
        <w:trPr>
          <w:trHeight w:val="510"/>
          <w:jc w:val="center"/>
        </w:trPr>
        <w:tc>
          <w:tcPr>
            <w:tcW w:w="1115" w:type="dxa"/>
            <w:tcBorders>
              <w:top w:val="nil"/>
              <w:left w:val="single" w:sz="4" w:space="0" w:color="auto"/>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p>
        </w:tc>
        <w:tc>
          <w:tcPr>
            <w:tcW w:w="146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r w:rsidRPr="00370C9E">
              <w:rPr>
                <w:rFonts w:ascii="Calibri" w:eastAsia="Times New Roman" w:hAnsi="Calibri" w:cs="Times New Roman"/>
                <w:color w:val="000000"/>
                <w:lang w:eastAsia="fr-FR"/>
              </w:rPr>
              <w:t xml:space="preserve"> 2</w:t>
            </w:r>
          </w:p>
        </w:tc>
        <w:tc>
          <w:tcPr>
            <w:tcW w:w="101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Tchamba</w:t>
            </w:r>
            <w:proofErr w:type="spellEnd"/>
          </w:p>
        </w:tc>
        <w:tc>
          <w:tcPr>
            <w:tcW w:w="2190" w:type="dxa"/>
            <w:gridSpan w:val="2"/>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w:t>
            </w:r>
            <w:proofErr w:type="spellStart"/>
            <w:r w:rsidRPr="00370C9E">
              <w:rPr>
                <w:rFonts w:ascii="Calibri" w:eastAsia="Times New Roman" w:hAnsi="Calibri" w:cs="Times New Roman"/>
                <w:color w:val="000000"/>
                <w:lang w:eastAsia="fr-FR"/>
              </w:rPr>
              <w:t>Tchamba</w:t>
            </w:r>
            <w:proofErr w:type="spellEnd"/>
            <w:r w:rsidRPr="00370C9E">
              <w:rPr>
                <w:rFonts w:ascii="Calibri" w:eastAsia="Times New Roman" w:hAnsi="Calibri" w:cs="Times New Roman"/>
                <w:color w:val="000000"/>
                <w:lang w:eastAsia="fr-FR"/>
              </w:rPr>
              <w:t xml:space="preserve"> Centre</w:t>
            </w:r>
          </w:p>
        </w:tc>
        <w:tc>
          <w:tcPr>
            <w:tcW w:w="503"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2</w:t>
            </w:r>
          </w:p>
        </w:tc>
        <w:tc>
          <w:tcPr>
            <w:tcW w:w="1134"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430</w:t>
            </w:r>
          </w:p>
        </w:tc>
        <w:tc>
          <w:tcPr>
            <w:tcW w:w="1276"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453</w:t>
            </w:r>
          </w:p>
        </w:tc>
        <w:tc>
          <w:tcPr>
            <w:tcW w:w="1134"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-23</w:t>
            </w:r>
          </w:p>
        </w:tc>
      </w:tr>
      <w:tr w:rsidR="00F46A05" w:rsidRPr="00370C9E" w:rsidTr="0044319D">
        <w:trPr>
          <w:trHeight w:val="525"/>
          <w:jc w:val="center"/>
        </w:trPr>
        <w:tc>
          <w:tcPr>
            <w:tcW w:w="1115" w:type="dxa"/>
            <w:tcBorders>
              <w:top w:val="nil"/>
              <w:left w:val="single" w:sz="4" w:space="0" w:color="auto"/>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p>
        </w:tc>
        <w:tc>
          <w:tcPr>
            <w:tcW w:w="146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r w:rsidRPr="00370C9E">
              <w:rPr>
                <w:rFonts w:ascii="Calibri" w:eastAsia="Times New Roman" w:hAnsi="Calibri" w:cs="Times New Roman"/>
                <w:color w:val="000000"/>
                <w:lang w:eastAsia="fr-FR"/>
              </w:rPr>
              <w:t xml:space="preserve"> 2</w:t>
            </w:r>
          </w:p>
        </w:tc>
        <w:tc>
          <w:tcPr>
            <w:tcW w:w="101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Tchamba</w:t>
            </w:r>
            <w:proofErr w:type="spellEnd"/>
          </w:p>
        </w:tc>
        <w:tc>
          <w:tcPr>
            <w:tcW w:w="2190" w:type="dxa"/>
            <w:gridSpan w:val="2"/>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w:t>
            </w:r>
            <w:proofErr w:type="spellStart"/>
            <w:r w:rsidRPr="00370C9E">
              <w:rPr>
                <w:rFonts w:ascii="Calibri" w:eastAsia="Times New Roman" w:hAnsi="Calibri" w:cs="Times New Roman"/>
                <w:color w:val="000000"/>
                <w:lang w:eastAsia="fr-FR"/>
              </w:rPr>
              <w:t>Tchamba</w:t>
            </w:r>
            <w:proofErr w:type="spellEnd"/>
            <w:r w:rsidRPr="00370C9E">
              <w:rPr>
                <w:rFonts w:ascii="Calibri" w:eastAsia="Times New Roman" w:hAnsi="Calibri" w:cs="Times New Roman"/>
                <w:color w:val="000000"/>
                <w:lang w:eastAsia="fr-FR"/>
              </w:rPr>
              <w:t xml:space="preserve"> Centre</w:t>
            </w:r>
          </w:p>
        </w:tc>
        <w:tc>
          <w:tcPr>
            <w:tcW w:w="503"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5</w:t>
            </w:r>
          </w:p>
        </w:tc>
        <w:tc>
          <w:tcPr>
            <w:tcW w:w="1134" w:type="dxa"/>
            <w:tcBorders>
              <w:top w:val="nil"/>
              <w:left w:val="nil"/>
              <w:bottom w:val="single" w:sz="4" w:space="0" w:color="auto"/>
              <w:right w:val="single" w:sz="4" w:space="0" w:color="auto"/>
            </w:tcBorders>
            <w:shd w:val="clear" w:color="auto" w:fill="FFC000"/>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430</w:t>
            </w:r>
          </w:p>
        </w:tc>
        <w:tc>
          <w:tcPr>
            <w:tcW w:w="1276"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485</w:t>
            </w:r>
          </w:p>
        </w:tc>
        <w:tc>
          <w:tcPr>
            <w:tcW w:w="1134"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-55</w:t>
            </w:r>
          </w:p>
        </w:tc>
      </w:tr>
      <w:tr w:rsidR="00F46A05" w:rsidRPr="00370C9E" w:rsidTr="0044319D">
        <w:trPr>
          <w:trHeight w:val="281"/>
          <w:jc w:val="center"/>
        </w:trPr>
        <w:tc>
          <w:tcPr>
            <w:tcW w:w="1115" w:type="dxa"/>
            <w:tcBorders>
              <w:top w:val="nil"/>
              <w:left w:val="single" w:sz="4" w:space="0" w:color="auto"/>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p>
        </w:tc>
        <w:tc>
          <w:tcPr>
            <w:tcW w:w="146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Tchaoudjo</w:t>
            </w:r>
            <w:proofErr w:type="spellEnd"/>
            <w:r w:rsidRPr="00370C9E">
              <w:rPr>
                <w:rFonts w:ascii="Calibri" w:eastAsia="Times New Roman" w:hAnsi="Calibri" w:cs="Times New Roman"/>
                <w:color w:val="000000"/>
                <w:lang w:eastAsia="fr-FR"/>
              </w:rPr>
              <w:t xml:space="preserve"> 2</w:t>
            </w:r>
          </w:p>
        </w:tc>
        <w:tc>
          <w:tcPr>
            <w:tcW w:w="101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Tchamba</w:t>
            </w:r>
            <w:proofErr w:type="spellEnd"/>
          </w:p>
        </w:tc>
        <w:tc>
          <w:tcPr>
            <w:tcW w:w="2190" w:type="dxa"/>
            <w:gridSpan w:val="2"/>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w:t>
            </w:r>
            <w:proofErr w:type="spellStart"/>
            <w:r w:rsidRPr="00370C9E">
              <w:rPr>
                <w:rFonts w:ascii="Calibri" w:eastAsia="Times New Roman" w:hAnsi="Calibri" w:cs="Times New Roman"/>
                <w:color w:val="000000"/>
                <w:lang w:eastAsia="fr-FR"/>
              </w:rPr>
              <w:t>Tchamba</w:t>
            </w:r>
            <w:proofErr w:type="spellEnd"/>
            <w:r w:rsidRPr="00370C9E">
              <w:rPr>
                <w:rFonts w:ascii="Calibri" w:eastAsia="Times New Roman" w:hAnsi="Calibri" w:cs="Times New Roman"/>
                <w:color w:val="000000"/>
                <w:lang w:eastAsia="fr-FR"/>
              </w:rPr>
              <w:t xml:space="preserve"> Centre</w:t>
            </w:r>
          </w:p>
        </w:tc>
        <w:tc>
          <w:tcPr>
            <w:tcW w:w="503"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7</w:t>
            </w:r>
          </w:p>
        </w:tc>
        <w:tc>
          <w:tcPr>
            <w:tcW w:w="1134" w:type="dxa"/>
            <w:tcBorders>
              <w:top w:val="nil"/>
              <w:left w:val="nil"/>
              <w:bottom w:val="single" w:sz="4" w:space="0" w:color="auto"/>
              <w:right w:val="single" w:sz="4" w:space="0" w:color="auto"/>
            </w:tcBorders>
            <w:shd w:val="clear" w:color="auto" w:fill="FFC000"/>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425</w:t>
            </w:r>
          </w:p>
        </w:tc>
        <w:tc>
          <w:tcPr>
            <w:tcW w:w="1276"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435</w:t>
            </w:r>
          </w:p>
        </w:tc>
        <w:tc>
          <w:tcPr>
            <w:tcW w:w="1134"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-10</w:t>
            </w:r>
          </w:p>
        </w:tc>
      </w:tr>
      <w:tr w:rsidR="00F46A05" w:rsidRPr="00370C9E" w:rsidTr="0044319D">
        <w:trPr>
          <w:trHeight w:val="399"/>
          <w:jc w:val="center"/>
        </w:trPr>
        <w:tc>
          <w:tcPr>
            <w:tcW w:w="1115" w:type="dxa"/>
            <w:tcBorders>
              <w:top w:val="nil"/>
              <w:left w:val="single" w:sz="4" w:space="0" w:color="auto"/>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Sotouboua</w:t>
            </w:r>
            <w:proofErr w:type="spellEnd"/>
          </w:p>
        </w:tc>
        <w:tc>
          <w:tcPr>
            <w:tcW w:w="146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Sotouboua</w:t>
            </w:r>
            <w:proofErr w:type="spellEnd"/>
            <w:r w:rsidRPr="00370C9E">
              <w:rPr>
                <w:rFonts w:ascii="Calibri" w:eastAsia="Times New Roman" w:hAnsi="Calibri" w:cs="Times New Roman"/>
                <w:color w:val="000000"/>
                <w:lang w:eastAsia="fr-FR"/>
              </w:rPr>
              <w:t xml:space="preserve"> 2</w:t>
            </w:r>
          </w:p>
        </w:tc>
        <w:tc>
          <w:tcPr>
            <w:tcW w:w="1019"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Adjengré</w:t>
            </w:r>
            <w:proofErr w:type="spellEnd"/>
          </w:p>
        </w:tc>
        <w:tc>
          <w:tcPr>
            <w:tcW w:w="2190" w:type="dxa"/>
            <w:gridSpan w:val="2"/>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EPP PIYODA</w:t>
            </w:r>
          </w:p>
        </w:tc>
        <w:tc>
          <w:tcPr>
            <w:tcW w:w="503"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8</w:t>
            </w:r>
          </w:p>
        </w:tc>
        <w:tc>
          <w:tcPr>
            <w:tcW w:w="1134" w:type="dxa"/>
            <w:tcBorders>
              <w:top w:val="nil"/>
              <w:left w:val="nil"/>
              <w:bottom w:val="single" w:sz="4" w:space="0" w:color="auto"/>
              <w:right w:val="single" w:sz="4" w:space="0" w:color="auto"/>
            </w:tcBorders>
            <w:shd w:val="clear" w:color="auto" w:fill="FFC000"/>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441</w:t>
            </w:r>
          </w:p>
        </w:tc>
        <w:tc>
          <w:tcPr>
            <w:tcW w:w="1276"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458</w:t>
            </w:r>
          </w:p>
        </w:tc>
        <w:tc>
          <w:tcPr>
            <w:tcW w:w="1134" w:type="dxa"/>
            <w:tcBorders>
              <w:top w:val="nil"/>
              <w:left w:val="nil"/>
              <w:bottom w:val="single" w:sz="4" w:space="0" w:color="auto"/>
              <w:right w:val="single" w:sz="4" w:space="0" w:color="auto"/>
            </w:tcBorders>
            <w:shd w:val="clear" w:color="auto" w:fill="FFC000"/>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-17</w:t>
            </w:r>
          </w:p>
        </w:tc>
      </w:tr>
      <w:tr w:rsidR="00F46A05" w:rsidRPr="00370C9E" w:rsidTr="0044319D">
        <w:trPr>
          <w:trHeight w:val="419"/>
          <w:jc w:val="center"/>
        </w:trPr>
        <w:tc>
          <w:tcPr>
            <w:tcW w:w="1115" w:type="dxa"/>
            <w:tcBorders>
              <w:top w:val="nil"/>
              <w:left w:val="single" w:sz="4" w:space="0" w:color="auto"/>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Blitta</w:t>
            </w:r>
            <w:proofErr w:type="spellEnd"/>
          </w:p>
        </w:tc>
        <w:tc>
          <w:tcPr>
            <w:tcW w:w="1469" w:type="dxa"/>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Blitta</w:t>
            </w:r>
            <w:proofErr w:type="spellEnd"/>
            <w:r w:rsidRPr="00370C9E">
              <w:rPr>
                <w:rFonts w:ascii="Calibri" w:eastAsia="Times New Roman" w:hAnsi="Calibri" w:cs="Times New Roman"/>
                <w:color w:val="000000"/>
                <w:lang w:eastAsia="fr-FR"/>
              </w:rPr>
              <w:t xml:space="preserve"> 3</w:t>
            </w:r>
          </w:p>
        </w:tc>
        <w:tc>
          <w:tcPr>
            <w:tcW w:w="1019" w:type="dxa"/>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Blitta</w:t>
            </w:r>
            <w:proofErr w:type="spellEnd"/>
          </w:p>
        </w:tc>
        <w:tc>
          <w:tcPr>
            <w:tcW w:w="2190" w:type="dxa"/>
            <w:gridSpan w:val="2"/>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YOVOKOPE</w:t>
            </w:r>
          </w:p>
        </w:tc>
        <w:tc>
          <w:tcPr>
            <w:tcW w:w="503" w:type="dxa"/>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1</w:t>
            </w:r>
          </w:p>
        </w:tc>
        <w:tc>
          <w:tcPr>
            <w:tcW w:w="1134" w:type="dxa"/>
            <w:tcBorders>
              <w:top w:val="nil"/>
              <w:left w:val="nil"/>
              <w:bottom w:val="single" w:sz="4" w:space="0" w:color="auto"/>
              <w:right w:val="single" w:sz="4" w:space="0" w:color="auto"/>
            </w:tcBorders>
            <w:shd w:val="clear" w:color="auto" w:fill="F4B083" w:themeFill="accent2"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358</w:t>
            </w:r>
          </w:p>
        </w:tc>
        <w:tc>
          <w:tcPr>
            <w:tcW w:w="1276" w:type="dxa"/>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370</w:t>
            </w:r>
          </w:p>
        </w:tc>
        <w:tc>
          <w:tcPr>
            <w:tcW w:w="1134" w:type="dxa"/>
            <w:tcBorders>
              <w:top w:val="nil"/>
              <w:left w:val="nil"/>
              <w:bottom w:val="single" w:sz="4" w:space="0" w:color="auto"/>
              <w:right w:val="single" w:sz="4" w:space="0" w:color="auto"/>
            </w:tcBorders>
            <w:shd w:val="clear" w:color="auto" w:fill="F4B083" w:themeFill="accent2" w:themeFillTint="99"/>
            <w:noWrap/>
            <w:vAlign w:val="bottom"/>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-12</w:t>
            </w:r>
          </w:p>
        </w:tc>
      </w:tr>
      <w:tr w:rsidR="00F46A05" w:rsidRPr="00370C9E" w:rsidTr="00EB75BF">
        <w:trPr>
          <w:trHeight w:val="411"/>
          <w:jc w:val="center"/>
        </w:trPr>
        <w:tc>
          <w:tcPr>
            <w:tcW w:w="62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2084</w:t>
            </w:r>
          </w:p>
        </w:tc>
        <w:tc>
          <w:tcPr>
            <w:tcW w:w="1276" w:type="dxa"/>
            <w:tcBorders>
              <w:top w:val="nil"/>
              <w:left w:val="nil"/>
              <w:bottom w:val="single" w:sz="4" w:space="0" w:color="auto"/>
              <w:right w:val="single" w:sz="4" w:space="0" w:color="auto"/>
            </w:tcBorders>
            <w:shd w:val="clear" w:color="auto" w:fill="auto"/>
            <w:noWrap/>
            <w:vAlign w:val="bottom"/>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2201</w:t>
            </w:r>
          </w:p>
        </w:tc>
        <w:tc>
          <w:tcPr>
            <w:tcW w:w="1134" w:type="dxa"/>
            <w:tcBorders>
              <w:top w:val="nil"/>
              <w:left w:val="nil"/>
              <w:bottom w:val="single" w:sz="4" w:space="0" w:color="auto"/>
              <w:right w:val="single" w:sz="4" w:space="0" w:color="auto"/>
            </w:tcBorders>
            <w:shd w:val="clear" w:color="auto" w:fill="auto"/>
            <w:noWrap/>
            <w:vAlign w:val="bottom"/>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-117</w:t>
            </w:r>
          </w:p>
        </w:tc>
      </w:tr>
      <w:tr w:rsidR="00F46A05" w:rsidRPr="00370C9E" w:rsidTr="0044319D">
        <w:trPr>
          <w:trHeight w:val="600"/>
          <w:jc w:val="center"/>
        </w:trPr>
        <w:tc>
          <w:tcPr>
            <w:tcW w:w="1115"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Golfe</w:t>
            </w:r>
          </w:p>
        </w:tc>
        <w:tc>
          <w:tcPr>
            <w:tcW w:w="1469"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Golfe 3</w:t>
            </w:r>
          </w:p>
        </w:tc>
        <w:tc>
          <w:tcPr>
            <w:tcW w:w="1061" w:type="dxa"/>
            <w:gridSpan w:val="2"/>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w:t>
            </w:r>
          </w:p>
        </w:tc>
        <w:tc>
          <w:tcPr>
            <w:tcW w:w="2148" w:type="dxa"/>
            <w:tcBorders>
              <w:top w:val="nil"/>
              <w:left w:val="nil"/>
              <w:bottom w:val="single" w:sz="4" w:space="0" w:color="auto"/>
              <w:right w:val="single" w:sz="4" w:space="0" w:color="auto"/>
            </w:tcBorders>
            <w:shd w:val="clear" w:color="auto" w:fill="A8D08D" w:themeFill="accent6" w:themeFillTint="99"/>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Camp  Général </w:t>
            </w:r>
            <w:proofErr w:type="spellStart"/>
            <w:r w:rsidRPr="00370C9E">
              <w:rPr>
                <w:rFonts w:ascii="Calibri" w:eastAsia="Times New Roman" w:hAnsi="Calibri" w:cs="Times New Roman"/>
                <w:color w:val="000000"/>
                <w:lang w:eastAsia="fr-FR"/>
              </w:rPr>
              <w:t>Gnassimbé</w:t>
            </w:r>
            <w:proofErr w:type="spellEnd"/>
            <w:r w:rsidRPr="00370C9E">
              <w:rPr>
                <w:rFonts w:ascii="Calibri" w:eastAsia="Times New Roman" w:hAnsi="Calibri" w:cs="Times New Roman"/>
                <w:color w:val="000000"/>
                <w:lang w:eastAsia="fr-FR"/>
              </w:rPr>
              <w:t xml:space="preserve"> </w:t>
            </w:r>
            <w:proofErr w:type="spellStart"/>
            <w:r w:rsidRPr="00370C9E">
              <w:rPr>
                <w:rFonts w:ascii="Calibri" w:eastAsia="Times New Roman" w:hAnsi="Calibri" w:cs="Times New Roman"/>
                <w:color w:val="000000"/>
                <w:lang w:eastAsia="fr-FR"/>
              </w:rPr>
              <w:t>Eyadéma</w:t>
            </w:r>
            <w:proofErr w:type="spellEnd"/>
          </w:p>
        </w:tc>
        <w:tc>
          <w:tcPr>
            <w:tcW w:w="503"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5</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463</w:t>
            </w:r>
          </w:p>
        </w:tc>
        <w:tc>
          <w:tcPr>
            <w:tcW w:w="1276"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678</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-215</w:t>
            </w:r>
          </w:p>
        </w:tc>
      </w:tr>
      <w:tr w:rsidR="00F46A05" w:rsidRPr="00370C9E" w:rsidTr="0044319D">
        <w:trPr>
          <w:trHeight w:val="600"/>
          <w:jc w:val="center"/>
        </w:trPr>
        <w:tc>
          <w:tcPr>
            <w:tcW w:w="1115" w:type="dxa"/>
            <w:tcBorders>
              <w:top w:val="nil"/>
              <w:left w:val="single" w:sz="4" w:space="0" w:color="auto"/>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Golfe</w:t>
            </w:r>
          </w:p>
        </w:tc>
        <w:tc>
          <w:tcPr>
            <w:tcW w:w="1469"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Golfe 3</w:t>
            </w:r>
          </w:p>
        </w:tc>
        <w:tc>
          <w:tcPr>
            <w:tcW w:w="1061" w:type="dxa"/>
            <w:gridSpan w:val="2"/>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w:t>
            </w:r>
          </w:p>
        </w:tc>
        <w:tc>
          <w:tcPr>
            <w:tcW w:w="2148" w:type="dxa"/>
            <w:tcBorders>
              <w:top w:val="nil"/>
              <w:left w:val="nil"/>
              <w:bottom w:val="single" w:sz="4" w:space="0" w:color="auto"/>
              <w:right w:val="single" w:sz="4" w:space="0" w:color="auto"/>
            </w:tcBorders>
            <w:shd w:val="clear" w:color="auto" w:fill="A8D08D" w:themeFill="accent6" w:themeFillTint="99"/>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Camp  Général </w:t>
            </w:r>
            <w:proofErr w:type="spellStart"/>
            <w:r w:rsidRPr="00370C9E">
              <w:rPr>
                <w:rFonts w:ascii="Calibri" w:eastAsia="Times New Roman" w:hAnsi="Calibri" w:cs="Times New Roman"/>
                <w:color w:val="000000"/>
                <w:lang w:eastAsia="fr-FR"/>
              </w:rPr>
              <w:t>Gnassimbé</w:t>
            </w:r>
            <w:proofErr w:type="spellEnd"/>
            <w:r w:rsidRPr="00370C9E">
              <w:rPr>
                <w:rFonts w:ascii="Calibri" w:eastAsia="Times New Roman" w:hAnsi="Calibri" w:cs="Times New Roman"/>
                <w:color w:val="000000"/>
                <w:lang w:eastAsia="fr-FR"/>
              </w:rPr>
              <w:t xml:space="preserve"> </w:t>
            </w:r>
            <w:proofErr w:type="spellStart"/>
            <w:r w:rsidRPr="00370C9E">
              <w:rPr>
                <w:rFonts w:ascii="Calibri" w:eastAsia="Times New Roman" w:hAnsi="Calibri" w:cs="Times New Roman"/>
                <w:color w:val="000000"/>
                <w:lang w:eastAsia="fr-FR"/>
              </w:rPr>
              <w:t>Eyadéma</w:t>
            </w:r>
            <w:proofErr w:type="spellEnd"/>
          </w:p>
        </w:tc>
        <w:tc>
          <w:tcPr>
            <w:tcW w:w="503"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6</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463</w:t>
            </w:r>
          </w:p>
        </w:tc>
        <w:tc>
          <w:tcPr>
            <w:tcW w:w="1276"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715</w:t>
            </w:r>
          </w:p>
        </w:tc>
        <w:tc>
          <w:tcPr>
            <w:tcW w:w="1134" w:type="dxa"/>
            <w:tcBorders>
              <w:top w:val="nil"/>
              <w:left w:val="nil"/>
              <w:bottom w:val="single" w:sz="4" w:space="0" w:color="auto"/>
              <w:right w:val="single" w:sz="4" w:space="0" w:color="auto"/>
            </w:tcBorders>
            <w:shd w:val="clear" w:color="auto" w:fill="A8D08D" w:themeFill="accent6"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-252</w:t>
            </w:r>
          </w:p>
        </w:tc>
      </w:tr>
      <w:tr w:rsidR="00F46A05" w:rsidRPr="00370C9E" w:rsidTr="0044319D">
        <w:trPr>
          <w:trHeight w:val="477"/>
          <w:jc w:val="center"/>
        </w:trPr>
        <w:tc>
          <w:tcPr>
            <w:tcW w:w="111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Zio</w:t>
            </w:r>
            <w:proofErr w:type="spellEnd"/>
          </w:p>
        </w:tc>
        <w:tc>
          <w:tcPr>
            <w:tcW w:w="1469"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Zio</w:t>
            </w:r>
            <w:proofErr w:type="spellEnd"/>
            <w:r w:rsidRPr="00370C9E">
              <w:rPr>
                <w:rFonts w:ascii="Calibri" w:eastAsia="Times New Roman" w:hAnsi="Calibri" w:cs="Times New Roman"/>
                <w:color w:val="000000"/>
                <w:lang w:eastAsia="fr-FR"/>
              </w:rPr>
              <w:t xml:space="preserve"> 1</w:t>
            </w:r>
          </w:p>
        </w:tc>
        <w:tc>
          <w:tcPr>
            <w:tcW w:w="1061" w:type="dxa"/>
            <w:gridSpan w:val="2"/>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proofErr w:type="spellStart"/>
            <w:r w:rsidRPr="00370C9E">
              <w:rPr>
                <w:rFonts w:ascii="Calibri" w:eastAsia="Times New Roman" w:hAnsi="Calibri" w:cs="Times New Roman"/>
                <w:color w:val="000000"/>
                <w:lang w:eastAsia="fr-FR"/>
              </w:rPr>
              <w:t>Gblainvié</w:t>
            </w:r>
            <w:proofErr w:type="spellEnd"/>
          </w:p>
        </w:tc>
        <w:tc>
          <w:tcPr>
            <w:tcW w:w="2148"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 xml:space="preserve">EPP </w:t>
            </w:r>
            <w:proofErr w:type="spellStart"/>
            <w:r w:rsidRPr="00370C9E">
              <w:rPr>
                <w:rFonts w:ascii="Calibri" w:eastAsia="Times New Roman" w:hAnsi="Calibri" w:cs="Times New Roman"/>
                <w:color w:val="000000"/>
                <w:lang w:eastAsia="fr-FR"/>
              </w:rPr>
              <w:t>Gblainvié</w:t>
            </w:r>
            <w:proofErr w:type="spellEnd"/>
          </w:p>
        </w:tc>
        <w:tc>
          <w:tcPr>
            <w:tcW w:w="503"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2</w:t>
            </w:r>
          </w:p>
        </w:tc>
        <w:tc>
          <w:tcPr>
            <w:tcW w:w="1134"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399</w:t>
            </w:r>
          </w:p>
        </w:tc>
        <w:tc>
          <w:tcPr>
            <w:tcW w:w="1276"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570</w:t>
            </w:r>
          </w:p>
        </w:tc>
        <w:tc>
          <w:tcPr>
            <w:tcW w:w="1134" w:type="dxa"/>
            <w:tcBorders>
              <w:top w:val="nil"/>
              <w:left w:val="nil"/>
              <w:bottom w:val="single" w:sz="4" w:space="0" w:color="auto"/>
              <w:right w:val="single" w:sz="4" w:space="0" w:color="auto"/>
            </w:tcBorders>
            <w:shd w:val="clear" w:color="auto" w:fill="9CC2E5" w:themeFill="accent1" w:themeFillTint="99"/>
            <w:noWrap/>
            <w:vAlign w:val="center"/>
            <w:hideMark/>
          </w:tcPr>
          <w:p w:rsidR="00F46A05" w:rsidRPr="00370C9E" w:rsidRDefault="00F46A05" w:rsidP="000D28CA">
            <w:pPr>
              <w:spacing w:after="0" w:line="240" w:lineRule="auto"/>
              <w:jc w:val="right"/>
              <w:rPr>
                <w:rFonts w:ascii="Calibri" w:eastAsia="Times New Roman" w:hAnsi="Calibri" w:cs="Times New Roman"/>
                <w:color w:val="000000"/>
                <w:lang w:eastAsia="fr-FR"/>
              </w:rPr>
            </w:pPr>
            <w:r w:rsidRPr="00370C9E">
              <w:rPr>
                <w:rFonts w:ascii="Calibri" w:eastAsia="Times New Roman" w:hAnsi="Calibri" w:cs="Times New Roman"/>
                <w:color w:val="000000"/>
                <w:lang w:eastAsia="fr-FR"/>
              </w:rPr>
              <w:t>-171</w:t>
            </w:r>
          </w:p>
        </w:tc>
      </w:tr>
      <w:tr w:rsidR="00F46A05" w:rsidRPr="00370C9E" w:rsidTr="00EB75BF">
        <w:trPr>
          <w:trHeight w:val="427"/>
          <w:jc w:val="center"/>
        </w:trPr>
        <w:tc>
          <w:tcPr>
            <w:tcW w:w="62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6A05" w:rsidRPr="00370C9E" w:rsidRDefault="00F46A05" w:rsidP="000D28CA">
            <w:pPr>
              <w:spacing w:after="0" w:line="240" w:lineRule="auto"/>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TOTAL</w:t>
            </w:r>
          </w:p>
        </w:tc>
        <w:tc>
          <w:tcPr>
            <w:tcW w:w="1134" w:type="dxa"/>
            <w:tcBorders>
              <w:top w:val="nil"/>
              <w:left w:val="nil"/>
              <w:bottom w:val="single" w:sz="4" w:space="0" w:color="auto"/>
              <w:right w:val="single" w:sz="4" w:space="0" w:color="auto"/>
            </w:tcBorders>
            <w:shd w:val="clear" w:color="auto" w:fill="auto"/>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1325</w:t>
            </w:r>
          </w:p>
        </w:tc>
        <w:tc>
          <w:tcPr>
            <w:tcW w:w="1276" w:type="dxa"/>
            <w:tcBorders>
              <w:top w:val="nil"/>
              <w:left w:val="nil"/>
              <w:bottom w:val="single" w:sz="4" w:space="0" w:color="auto"/>
              <w:right w:val="single" w:sz="4" w:space="0" w:color="auto"/>
            </w:tcBorders>
            <w:shd w:val="clear" w:color="auto" w:fill="auto"/>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1963</w:t>
            </w:r>
          </w:p>
        </w:tc>
        <w:tc>
          <w:tcPr>
            <w:tcW w:w="1134" w:type="dxa"/>
            <w:tcBorders>
              <w:top w:val="nil"/>
              <w:left w:val="nil"/>
              <w:bottom w:val="single" w:sz="4" w:space="0" w:color="auto"/>
              <w:right w:val="single" w:sz="4" w:space="0" w:color="auto"/>
            </w:tcBorders>
            <w:shd w:val="clear" w:color="auto" w:fill="auto"/>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-638</w:t>
            </w:r>
          </w:p>
        </w:tc>
      </w:tr>
      <w:tr w:rsidR="00F46A05" w:rsidRPr="00370C9E" w:rsidTr="0044319D">
        <w:trPr>
          <w:trHeight w:val="405"/>
          <w:jc w:val="center"/>
        </w:trPr>
        <w:tc>
          <w:tcPr>
            <w:tcW w:w="6296" w:type="dxa"/>
            <w:gridSpan w:val="6"/>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F46A05" w:rsidRPr="00370C9E" w:rsidRDefault="00F46A05" w:rsidP="000D28CA">
            <w:pPr>
              <w:spacing w:after="0" w:line="240" w:lineRule="auto"/>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TOTAL GENERAL</w:t>
            </w:r>
          </w:p>
        </w:tc>
        <w:tc>
          <w:tcPr>
            <w:tcW w:w="1134" w:type="dxa"/>
            <w:tcBorders>
              <w:top w:val="nil"/>
              <w:left w:val="nil"/>
              <w:bottom w:val="single" w:sz="4" w:space="0" w:color="auto"/>
              <w:right w:val="single" w:sz="4" w:space="0" w:color="auto"/>
            </w:tcBorders>
            <w:shd w:val="clear" w:color="auto" w:fill="00B050"/>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3409</w:t>
            </w:r>
          </w:p>
        </w:tc>
        <w:tc>
          <w:tcPr>
            <w:tcW w:w="1276" w:type="dxa"/>
            <w:tcBorders>
              <w:top w:val="nil"/>
              <w:left w:val="nil"/>
              <w:bottom w:val="single" w:sz="4" w:space="0" w:color="auto"/>
              <w:right w:val="single" w:sz="4" w:space="0" w:color="auto"/>
            </w:tcBorders>
            <w:shd w:val="clear" w:color="auto" w:fill="00B050"/>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4164</w:t>
            </w:r>
          </w:p>
        </w:tc>
        <w:tc>
          <w:tcPr>
            <w:tcW w:w="1134" w:type="dxa"/>
            <w:tcBorders>
              <w:top w:val="nil"/>
              <w:left w:val="nil"/>
              <w:bottom w:val="single" w:sz="4" w:space="0" w:color="auto"/>
              <w:right w:val="single" w:sz="4" w:space="0" w:color="auto"/>
            </w:tcBorders>
            <w:shd w:val="clear" w:color="auto" w:fill="00B050"/>
            <w:noWrap/>
            <w:vAlign w:val="center"/>
            <w:hideMark/>
          </w:tcPr>
          <w:p w:rsidR="00F46A05" w:rsidRPr="00370C9E" w:rsidRDefault="00F46A05" w:rsidP="000D28CA">
            <w:pPr>
              <w:spacing w:after="0" w:line="240" w:lineRule="auto"/>
              <w:jc w:val="right"/>
              <w:rPr>
                <w:rFonts w:ascii="Calibri" w:eastAsia="Times New Roman" w:hAnsi="Calibri" w:cs="Times New Roman"/>
                <w:b/>
                <w:bCs/>
                <w:color w:val="000000"/>
                <w:lang w:eastAsia="fr-FR"/>
              </w:rPr>
            </w:pPr>
            <w:r w:rsidRPr="00370C9E">
              <w:rPr>
                <w:rFonts w:ascii="Calibri" w:eastAsia="Times New Roman" w:hAnsi="Calibri" w:cs="Times New Roman"/>
                <w:b/>
                <w:bCs/>
                <w:color w:val="000000"/>
                <w:lang w:eastAsia="fr-FR"/>
              </w:rPr>
              <w:t>-755</w:t>
            </w:r>
          </w:p>
        </w:tc>
      </w:tr>
    </w:tbl>
    <w:p w:rsidR="00483822" w:rsidRDefault="00483822" w:rsidP="00483822">
      <w:pPr>
        <w:jc w:val="both"/>
        <w:rPr>
          <w:rFonts w:ascii="Times New Roman" w:hAnsi="Times New Roman" w:cs="Times New Roman"/>
          <w:sz w:val="24"/>
          <w:szCs w:val="24"/>
        </w:rPr>
      </w:pPr>
    </w:p>
    <w:p w:rsidR="00483822" w:rsidRPr="00B67184" w:rsidRDefault="00483822" w:rsidP="00483822">
      <w:pPr>
        <w:jc w:val="both"/>
        <w:rPr>
          <w:rFonts w:ascii="Times New Roman" w:hAnsi="Times New Roman" w:cs="Times New Roman"/>
          <w:i/>
          <w:sz w:val="24"/>
          <w:szCs w:val="24"/>
        </w:rPr>
      </w:pPr>
      <w:r w:rsidRPr="00EE06C4">
        <w:rPr>
          <w:rFonts w:ascii="Times New Roman" w:hAnsi="Times New Roman" w:cs="Times New Roman"/>
          <w:sz w:val="24"/>
          <w:szCs w:val="24"/>
        </w:rPr>
        <w:t xml:space="preserve">Par ailleurs, l’un des faits marquants de cette élection est l’interdiction d’observation par la CENI à certaines organisations de la société civile à l’instar de la CNSC, de l’ACAT et du </w:t>
      </w:r>
      <w:r w:rsidRPr="00B67184">
        <w:rPr>
          <w:rFonts w:ascii="Times New Roman" w:hAnsi="Times New Roman" w:cs="Times New Roman"/>
          <w:sz w:val="24"/>
          <w:szCs w:val="24"/>
        </w:rPr>
        <w:t xml:space="preserve">CEJP. En effet cette interdiction est  en contradiction avec l’article 8 du Code électoral, du point 4 du Guide et Code de bonne conduite de l’observateur en sa deuxième partie et avec le point 1.2.8 de l’Accord Politique Global qui stipule que </w:t>
      </w:r>
      <w:r w:rsidRPr="00B67184">
        <w:rPr>
          <w:rFonts w:ascii="Times New Roman" w:hAnsi="Times New Roman" w:cs="Times New Roman"/>
          <w:i/>
          <w:sz w:val="24"/>
          <w:szCs w:val="24"/>
        </w:rPr>
        <w:t xml:space="preserve">les Parties prenantes au Dialogue s'engagent à accepter des observateurs nationaux et internationaux à tous les stades du processus électoral </w:t>
      </w:r>
      <w:r w:rsidR="00EE06C4">
        <w:rPr>
          <w:rFonts w:ascii="Times New Roman" w:hAnsi="Times New Roman" w:cs="Times New Roman"/>
          <w:i/>
          <w:sz w:val="24"/>
          <w:szCs w:val="24"/>
        </w:rPr>
        <w:t>………..</w:t>
      </w:r>
      <w:r w:rsidRPr="00B67184">
        <w:rPr>
          <w:rFonts w:ascii="Times New Roman" w:hAnsi="Times New Roman" w:cs="Times New Roman"/>
          <w:i/>
          <w:sz w:val="24"/>
          <w:szCs w:val="24"/>
        </w:rPr>
        <w:t xml:space="preserve"> </w:t>
      </w:r>
    </w:p>
    <w:p w:rsidR="00483822" w:rsidRPr="00B67184" w:rsidRDefault="00483822" w:rsidP="00483822">
      <w:pPr>
        <w:spacing w:after="0" w:line="240" w:lineRule="auto"/>
        <w:jc w:val="both"/>
        <w:rPr>
          <w:rFonts w:ascii="Times New Roman" w:hAnsi="Times New Roman" w:cs="Times New Roman"/>
          <w:sz w:val="24"/>
          <w:szCs w:val="24"/>
        </w:rPr>
      </w:pPr>
      <w:r w:rsidRPr="00B67184">
        <w:rPr>
          <w:rFonts w:ascii="Times New Roman" w:hAnsi="Times New Roman" w:cs="Times New Roman"/>
          <w:sz w:val="24"/>
          <w:szCs w:val="24"/>
        </w:rPr>
        <w:t xml:space="preserve">La présente analyse se limite aux enjeux des locales, aux dysfonctionnements dans la révision des listes électorales, aux résultats du scrutin en termes d’incohérence des chiffres des inscrits et des votants et des bulletins contestés signe tangible de bourrage d’urnes, ainsi qu’aux taux de participation et d’abstention pour comprendre le comportement des électeurs au fil des années dans le Nord et Sud du Togo. L’analyse aborde également la question de la transparence sans prendre en compte d’autres variables qui ont pu influer sur le vote, telles que la capacité financière des partis en lice, la démultiplication des bureaux de vote, la manipulation des chiffres par l’administration électorale, le déficit de communication de la CENI et la manifestation des influences négatives… </w:t>
      </w:r>
    </w:p>
    <w:p w:rsidR="00483822" w:rsidRPr="00B67184" w:rsidRDefault="00483822" w:rsidP="00483822">
      <w:pPr>
        <w:spacing w:after="0" w:line="240" w:lineRule="auto"/>
        <w:jc w:val="both"/>
        <w:rPr>
          <w:rFonts w:ascii="Times New Roman" w:hAnsi="Times New Roman" w:cs="Times New Roman"/>
          <w:sz w:val="24"/>
          <w:szCs w:val="24"/>
        </w:rPr>
      </w:pPr>
    </w:p>
    <w:p w:rsidR="00483822" w:rsidRDefault="00483822" w:rsidP="00483822">
      <w:pPr>
        <w:autoSpaceDE w:val="0"/>
        <w:autoSpaceDN w:val="0"/>
        <w:adjustRightInd w:val="0"/>
        <w:spacing w:after="0" w:line="240" w:lineRule="auto"/>
        <w:jc w:val="both"/>
        <w:rPr>
          <w:rFonts w:ascii="Verdana" w:hAnsi="Verdana" w:cs="Verdana"/>
          <w:sz w:val="24"/>
          <w:szCs w:val="24"/>
        </w:rPr>
      </w:pPr>
      <w:r w:rsidRPr="001A36DF">
        <w:rPr>
          <w:rFonts w:ascii="Times New Roman" w:hAnsi="Times New Roman" w:cs="Times New Roman"/>
          <w:i/>
          <w:sz w:val="24"/>
          <w:szCs w:val="24"/>
        </w:rPr>
        <w:t>La conclusion de ce regard citoyen est que</w:t>
      </w:r>
      <w:r w:rsidRPr="001A36DF">
        <w:rPr>
          <w:rFonts w:ascii="Times New Roman" w:hAnsi="Times New Roman" w:cs="Times New Roman"/>
          <w:b/>
          <w:i/>
          <w:sz w:val="24"/>
          <w:szCs w:val="24"/>
        </w:rPr>
        <w:t xml:space="preserve"> </w:t>
      </w:r>
      <w:r w:rsidRPr="001A36DF">
        <w:rPr>
          <w:rFonts w:ascii="Times New Roman" w:hAnsi="Times New Roman" w:cs="Times New Roman"/>
          <w:i/>
          <w:sz w:val="24"/>
          <w:szCs w:val="24"/>
        </w:rPr>
        <w:t xml:space="preserve">les représentants du parti UNIR ont </w:t>
      </w:r>
      <w:r w:rsidR="000B2588">
        <w:rPr>
          <w:rFonts w:ascii="Times New Roman" w:hAnsi="Times New Roman" w:cs="Times New Roman"/>
          <w:b/>
          <w:i/>
          <w:sz w:val="24"/>
          <w:szCs w:val="24"/>
        </w:rPr>
        <w:t>probablement remporté</w:t>
      </w:r>
      <w:r w:rsidRPr="001A36DF">
        <w:rPr>
          <w:rFonts w:ascii="Times New Roman" w:hAnsi="Times New Roman" w:cs="Times New Roman"/>
          <w:b/>
          <w:i/>
          <w:sz w:val="24"/>
          <w:szCs w:val="24"/>
        </w:rPr>
        <w:t xml:space="preserve"> la majorité des sièges des élections locales de 2019 sans convaincre de la transparence et de la sincérité du scrutin. Ce qui dénote</w:t>
      </w:r>
      <w:r w:rsidRPr="001A36DF">
        <w:rPr>
          <w:rFonts w:ascii="Times New Roman" w:hAnsi="Times New Roman" w:cs="Times New Roman"/>
          <w:i/>
          <w:sz w:val="24"/>
          <w:szCs w:val="24"/>
        </w:rPr>
        <w:t xml:space="preserve"> </w:t>
      </w:r>
      <w:r w:rsidRPr="00321C84">
        <w:rPr>
          <w:rFonts w:ascii="Times New Roman" w:hAnsi="Times New Roman" w:cs="Times New Roman"/>
          <w:b/>
          <w:i/>
          <w:sz w:val="24"/>
          <w:szCs w:val="24"/>
        </w:rPr>
        <w:t>un recul sensible en matière de transparence électorale par rapport à 2007 et 2010 au Togo et  fait douter de la réelle volonté politique du pouvoir à aller vers la transparence électorale en termes d’équité et de justice « une personne un vote, une valeur ».</w:t>
      </w:r>
      <w:r w:rsidRPr="001A36DF">
        <w:rPr>
          <w:rFonts w:ascii="Times New Roman" w:hAnsi="Times New Roman" w:cs="Times New Roman"/>
          <w:i/>
          <w:sz w:val="24"/>
          <w:szCs w:val="24"/>
        </w:rPr>
        <w:t xml:space="preserve"> Ce recul est lié à la transparence de la liste électorale et </w:t>
      </w:r>
      <w:r w:rsidR="00796C3C">
        <w:rPr>
          <w:rFonts w:ascii="Times New Roman" w:hAnsi="Times New Roman" w:cs="Times New Roman"/>
          <w:i/>
          <w:sz w:val="24"/>
          <w:szCs w:val="24"/>
        </w:rPr>
        <w:t>aux conditions de</w:t>
      </w:r>
      <w:r w:rsidRPr="001A36DF">
        <w:rPr>
          <w:rFonts w:ascii="Times New Roman" w:hAnsi="Times New Roman" w:cs="Times New Roman"/>
          <w:i/>
          <w:sz w:val="24"/>
          <w:szCs w:val="24"/>
        </w:rPr>
        <w:t xml:space="preserve"> proclamation des résultats et viole </w:t>
      </w:r>
      <w:r w:rsidR="00321C84">
        <w:rPr>
          <w:rFonts w:ascii="Times New Roman" w:hAnsi="Times New Roman" w:cs="Times New Roman"/>
          <w:i/>
          <w:sz w:val="24"/>
          <w:szCs w:val="24"/>
        </w:rPr>
        <w:t>certaines</w:t>
      </w:r>
      <w:r w:rsidRPr="001A36DF">
        <w:rPr>
          <w:rFonts w:ascii="Times New Roman" w:hAnsi="Times New Roman" w:cs="Times New Roman"/>
          <w:i/>
          <w:sz w:val="24"/>
          <w:szCs w:val="24"/>
        </w:rPr>
        <w:t xml:space="preserve"> dispositions</w:t>
      </w:r>
      <w:r w:rsidR="00321C84">
        <w:rPr>
          <w:rFonts w:ascii="Times New Roman" w:hAnsi="Times New Roman" w:cs="Times New Roman"/>
          <w:i/>
          <w:sz w:val="24"/>
          <w:szCs w:val="24"/>
        </w:rPr>
        <w:t xml:space="preserve"> </w:t>
      </w:r>
      <w:r w:rsidRPr="001A36DF">
        <w:rPr>
          <w:rFonts w:ascii="Times New Roman" w:hAnsi="Times New Roman" w:cs="Times New Roman"/>
          <w:i/>
          <w:sz w:val="24"/>
          <w:szCs w:val="24"/>
        </w:rPr>
        <w:t xml:space="preserve"> </w:t>
      </w:r>
      <w:r w:rsidR="00321C84">
        <w:rPr>
          <w:rFonts w:ascii="Times New Roman" w:hAnsi="Times New Roman" w:cs="Times New Roman"/>
          <w:i/>
          <w:sz w:val="24"/>
          <w:szCs w:val="24"/>
        </w:rPr>
        <w:t xml:space="preserve">du protocole sur la démocratie et la bonne gouvernance </w:t>
      </w:r>
      <w:r w:rsidR="008C5AD4">
        <w:rPr>
          <w:rFonts w:ascii="Times New Roman" w:hAnsi="Times New Roman" w:cs="Times New Roman"/>
          <w:i/>
          <w:sz w:val="24"/>
          <w:szCs w:val="24"/>
        </w:rPr>
        <w:t xml:space="preserve">de la CEDEAO </w:t>
      </w:r>
      <w:r w:rsidRPr="001A36DF">
        <w:rPr>
          <w:rFonts w:ascii="Times New Roman" w:hAnsi="Times New Roman" w:cs="Times New Roman"/>
          <w:i/>
          <w:sz w:val="24"/>
          <w:szCs w:val="24"/>
        </w:rPr>
        <w:t>qui dispose</w:t>
      </w:r>
      <w:r>
        <w:rPr>
          <w:rFonts w:ascii="Times New Roman" w:hAnsi="Times New Roman" w:cs="Times New Roman"/>
          <w:i/>
          <w:sz w:val="24"/>
          <w:szCs w:val="24"/>
        </w:rPr>
        <w:t>:</w:t>
      </w:r>
      <w:r w:rsidRPr="00483822">
        <w:rPr>
          <w:rFonts w:ascii="Verdana" w:hAnsi="Verdana" w:cs="Verdana"/>
          <w:sz w:val="24"/>
          <w:szCs w:val="24"/>
        </w:rPr>
        <w:t xml:space="preserve"> </w:t>
      </w:r>
    </w:p>
    <w:p w:rsidR="00321C84" w:rsidRPr="00483822" w:rsidRDefault="00321C84" w:rsidP="00483822">
      <w:pPr>
        <w:autoSpaceDE w:val="0"/>
        <w:autoSpaceDN w:val="0"/>
        <w:adjustRightInd w:val="0"/>
        <w:spacing w:after="0" w:line="240" w:lineRule="auto"/>
        <w:jc w:val="both"/>
        <w:rPr>
          <w:rFonts w:ascii="Times New Roman" w:hAnsi="Times New Roman" w:cs="Times New Roman"/>
          <w:b/>
          <w:i/>
          <w:sz w:val="24"/>
          <w:szCs w:val="24"/>
        </w:rPr>
      </w:pPr>
    </w:p>
    <w:p w:rsidR="00483822" w:rsidRPr="00461F4F" w:rsidRDefault="00796C3C" w:rsidP="00483822">
      <w:pPr>
        <w:autoSpaceDE w:val="0"/>
        <w:autoSpaceDN w:val="0"/>
        <w:adjustRightInd w:val="0"/>
        <w:spacing w:after="0" w:line="240" w:lineRule="auto"/>
        <w:jc w:val="both"/>
        <w:rPr>
          <w:rFonts w:ascii="Times New Roman" w:hAnsi="Times New Roman" w:cs="Times New Roman"/>
          <w:b/>
          <w:i/>
          <w:sz w:val="24"/>
          <w:szCs w:val="24"/>
        </w:rPr>
      </w:pPr>
      <w:r w:rsidRPr="00461F4F">
        <w:rPr>
          <w:rFonts w:ascii="Times New Roman" w:hAnsi="Times New Roman" w:cs="Times New Roman"/>
          <w:b/>
          <w:i/>
          <w:sz w:val="24"/>
          <w:szCs w:val="24"/>
        </w:rPr>
        <w:t>« </w:t>
      </w:r>
      <w:r w:rsidR="00483822" w:rsidRPr="00461F4F">
        <w:rPr>
          <w:rFonts w:ascii="Times New Roman" w:hAnsi="Times New Roman" w:cs="Times New Roman"/>
          <w:b/>
          <w:i/>
          <w:sz w:val="24"/>
          <w:szCs w:val="24"/>
        </w:rPr>
        <w:t xml:space="preserve">Les listes électorales seront établies de manière transparente et fiable avec la participation des partis politiques et des électeurs qui peuvent les </w:t>
      </w:r>
      <w:r w:rsidR="00EE06C4">
        <w:rPr>
          <w:rFonts w:ascii="Times New Roman" w:hAnsi="Times New Roman" w:cs="Times New Roman"/>
          <w:b/>
          <w:i/>
          <w:sz w:val="24"/>
          <w:szCs w:val="24"/>
        </w:rPr>
        <w:t xml:space="preserve">consulter en tant que </w:t>
      </w:r>
      <w:bookmarkStart w:id="0" w:name="_GoBack"/>
      <w:bookmarkEnd w:id="0"/>
      <w:r w:rsidR="000B2588">
        <w:rPr>
          <w:rFonts w:ascii="Times New Roman" w:hAnsi="Times New Roman" w:cs="Times New Roman"/>
          <w:b/>
          <w:i/>
          <w:sz w:val="24"/>
          <w:szCs w:val="24"/>
        </w:rPr>
        <w:t xml:space="preserve"> besoin</w:t>
      </w:r>
      <w:r w:rsidRPr="00461F4F">
        <w:rPr>
          <w:rFonts w:ascii="Times New Roman" w:hAnsi="Times New Roman" w:cs="Times New Roman"/>
          <w:b/>
          <w:i/>
          <w:sz w:val="24"/>
          <w:szCs w:val="24"/>
        </w:rPr>
        <w:t> »</w:t>
      </w:r>
      <w:r w:rsidR="00483822" w:rsidRPr="00461F4F">
        <w:rPr>
          <w:rFonts w:ascii="Times New Roman" w:hAnsi="Times New Roman" w:cs="Times New Roman"/>
          <w:b/>
          <w:i/>
          <w:sz w:val="24"/>
          <w:szCs w:val="24"/>
        </w:rPr>
        <w:t xml:space="preserve"> </w:t>
      </w:r>
      <w:r w:rsidR="00321C84" w:rsidRPr="00461F4F">
        <w:rPr>
          <w:rFonts w:ascii="Times New Roman" w:hAnsi="Times New Roman" w:cs="Times New Roman"/>
          <w:b/>
          <w:i/>
          <w:sz w:val="24"/>
          <w:szCs w:val="24"/>
        </w:rPr>
        <w:t>(article5)</w:t>
      </w:r>
      <w:r w:rsidR="000B2588">
        <w:rPr>
          <w:rFonts w:ascii="Times New Roman" w:hAnsi="Times New Roman" w:cs="Times New Roman"/>
          <w:b/>
          <w:i/>
          <w:sz w:val="24"/>
          <w:szCs w:val="24"/>
        </w:rPr>
        <w:t>.</w:t>
      </w:r>
    </w:p>
    <w:p w:rsidR="00321C84" w:rsidRPr="00461F4F" w:rsidRDefault="00321C84" w:rsidP="00483822">
      <w:pPr>
        <w:autoSpaceDE w:val="0"/>
        <w:autoSpaceDN w:val="0"/>
        <w:adjustRightInd w:val="0"/>
        <w:spacing w:after="0" w:line="240" w:lineRule="auto"/>
        <w:jc w:val="both"/>
        <w:rPr>
          <w:rFonts w:ascii="Times New Roman" w:hAnsi="Times New Roman" w:cs="Times New Roman"/>
          <w:b/>
          <w:i/>
          <w:sz w:val="16"/>
          <w:szCs w:val="16"/>
        </w:rPr>
      </w:pPr>
    </w:p>
    <w:p w:rsidR="00321C84" w:rsidRPr="00461F4F" w:rsidRDefault="00796C3C" w:rsidP="00796C3C">
      <w:pPr>
        <w:autoSpaceDE w:val="0"/>
        <w:autoSpaceDN w:val="0"/>
        <w:adjustRightInd w:val="0"/>
        <w:spacing w:after="0" w:line="240" w:lineRule="auto"/>
        <w:rPr>
          <w:rFonts w:ascii="Times New Roman" w:hAnsi="Times New Roman" w:cs="Times New Roman"/>
          <w:b/>
          <w:i/>
          <w:sz w:val="24"/>
          <w:szCs w:val="24"/>
        </w:rPr>
      </w:pPr>
      <w:r w:rsidRPr="00461F4F">
        <w:rPr>
          <w:rFonts w:ascii="Times New Roman" w:hAnsi="Times New Roman" w:cs="Times New Roman"/>
          <w:b/>
          <w:i/>
          <w:sz w:val="24"/>
          <w:szCs w:val="24"/>
        </w:rPr>
        <w:t>« L’organisation, le déroulement des élections et la proclamation des résultats s’effectueront de manière transparente » (article 6)</w:t>
      </w:r>
    </w:p>
    <w:p w:rsidR="00483822" w:rsidRPr="00796C3C" w:rsidRDefault="00483822" w:rsidP="00483822">
      <w:pPr>
        <w:spacing w:after="0" w:line="240" w:lineRule="auto"/>
        <w:jc w:val="both"/>
        <w:rPr>
          <w:rFonts w:ascii="Times New Roman" w:hAnsi="Times New Roman" w:cs="Times New Roman"/>
          <w:i/>
          <w:sz w:val="24"/>
          <w:szCs w:val="24"/>
        </w:rPr>
      </w:pPr>
    </w:p>
    <w:p w:rsidR="00483822" w:rsidRPr="00F46A05" w:rsidRDefault="00F46A05" w:rsidP="00483822">
      <w:pPr>
        <w:jc w:val="both"/>
        <w:rPr>
          <w:rFonts w:ascii="Times New Roman" w:hAnsi="Times New Roman" w:cs="Times New Roman"/>
          <w:sz w:val="24"/>
          <w:szCs w:val="24"/>
        </w:rPr>
      </w:pPr>
      <w:r>
        <w:rPr>
          <w:rFonts w:ascii="Times New Roman" w:hAnsi="Times New Roman" w:cs="Times New Roman"/>
          <w:sz w:val="24"/>
          <w:szCs w:val="24"/>
        </w:rPr>
        <w:t xml:space="preserve">SADD publiera dans les semaines qui viennent </w:t>
      </w:r>
      <w:r w:rsidR="00483822" w:rsidRPr="001A36DF">
        <w:rPr>
          <w:rFonts w:ascii="Times New Roman" w:hAnsi="Times New Roman" w:cs="Times New Roman"/>
          <w:sz w:val="24"/>
          <w:szCs w:val="24"/>
        </w:rPr>
        <w:t>un rapport complet sur cette élection locale qui abordera en détails les questions du comportement d</w:t>
      </w:r>
      <w:r w:rsidR="00796C3C">
        <w:rPr>
          <w:rFonts w:ascii="Times New Roman" w:hAnsi="Times New Roman" w:cs="Times New Roman"/>
          <w:sz w:val="24"/>
          <w:szCs w:val="24"/>
        </w:rPr>
        <w:t>es électeurs dans les urnes</w:t>
      </w:r>
      <w:r>
        <w:rPr>
          <w:rFonts w:ascii="Times New Roman" w:hAnsi="Times New Roman" w:cs="Times New Roman"/>
          <w:sz w:val="24"/>
          <w:szCs w:val="24"/>
        </w:rPr>
        <w:t xml:space="preserve"> et</w:t>
      </w:r>
      <w:r w:rsidR="00483822" w:rsidRPr="001A36DF">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483822" w:rsidRPr="001A36DF">
        <w:rPr>
          <w:rFonts w:ascii="Times New Roman" w:hAnsi="Times New Roman" w:cs="Times New Roman"/>
          <w:sz w:val="24"/>
          <w:szCs w:val="24"/>
        </w:rPr>
        <w:t>pratiques en matière d’élection libre transparente et démocratique</w:t>
      </w:r>
      <w:r w:rsidR="00796C3C">
        <w:rPr>
          <w:rFonts w:ascii="Times New Roman" w:hAnsi="Times New Roman" w:cs="Times New Roman"/>
          <w:sz w:val="24"/>
          <w:szCs w:val="24"/>
        </w:rPr>
        <w:t xml:space="preserve"> constatées. Le rapport</w:t>
      </w:r>
      <w:r w:rsidR="00483822" w:rsidRPr="001A36DF">
        <w:rPr>
          <w:rFonts w:ascii="Times New Roman" w:hAnsi="Times New Roman" w:cs="Times New Roman"/>
          <w:sz w:val="24"/>
          <w:szCs w:val="24"/>
        </w:rPr>
        <w:t xml:space="preserve"> permettra aussi de </w:t>
      </w:r>
      <w:r w:rsidR="00796C3C">
        <w:rPr>
          <w:rFonts w:ascii="Times New Roman" w:hAnsi="Times New Roman" w:cs="Times New Roman"/>
          <w:sz w:val="24"/>
          <w:szCs w:val="24"/>
        </w:rPr>
        <w:t>faire des</w:t>
      </w:r>
      <w:r w:rsidR="00483822" w:rsidRPr="001A36DF">
        <w:rPr>
          <w:rFonts w:ascii="Times New Roman" w:hAnsi="Times New Roman" w:cs="Times New Roman"/>
          <w:sz w:val="24"/>
          <w:szCs w:val="24"/>
        </w:rPr>
        <w:t xml:space="preserve"> analyse</w:t>
      </w:r>
      <w:r w:rsidR="00796C3C">
        <w:rPr>
          <w:rFonts w:ascii="Times New Roman" w:hAnsi="Times New Roman" w:cs="Times New Roman"/>
          <w:sz w:val="24"/>
          <w:szCs w:val="24"/>
        </w:rPr>
        <w:t>s</w:t>
      </w:r>
      <w:r w:rsidR="00483822" w:rsidRPr="001A36DF">
        <w:rPr>
          <w:rFonts w:ascii="Times New Roman" w:hAnsi="Times New Roman" w:cs="Times New Roman"/>
          <w:sz w:val="24"/>
          <w:szCs w:val="24"/>
        </w:rPr>
        <w:t xml:space="preserve"> comparative</w:t>
      </w:r>
      <w:r w:rsidR="00796C3C">
        <w:rPr>
          <w:rFonts w:ascii="Times New Roman" w:hAnsi="Times New Roman" w:cs="Times New Roman"/>
          <w:sz w:val="24"/>
          <w:szCs w:val="24"/>
        </w:rPr>
        <w:t>s à différents niveaux des processus électoraux 2018-2019</w:t>
      </w:r>
      <w:r w:rsidR="000B2588">
        <w:rPr>
          <w:rFonts w:ascii="Times New Roman" w:hAnsi="Times New Roman" w:cs="Times New Roman"/>
          <w:sz w:val="24"/>
          <w:szCs w:val="24"/>
        </w:rPr>
        <w:t xml:space="preserve"> </w:t>
      </w:r>
      <w:r w:rsidR="00796C3C">
        <w:rPr>
          <w:rFonts w:ascii="Times New Roman" w:hAnsi="Times New Roman" w:cs="Times New Roman"/>
          <w:sz w:val="24"/>
          <w:szCs w:val="24"/>
        </w:rPr>
        <w:t>(législatives et locales)</w:t>
      </w:r>
      <w:r w:rsidR="00461F4F">
        <w:rPr>
          <w:rFonts w:ascii="Times New Roman" w:hAnsi="Times New Roman" w:cs="Times New Roman"/>
          <w:sz w:val="24"/>
          <w:szCs w:val="24"/>
        </w:rPr>
        <w:t xml:space="preserve"> </w:t>
      </w:r>
      <w:r w:rsidR="00483822" w:rsidRPr="001A36DF">
        <w:rPr>
          <w:rFonts w:ascii="Times New Roman" w:hAnsi="Times New Roman" w:cs="Times New Roman"/>
          <w:sz w:val="24"/>
          <w:szCs w:val="24"/>
        </w:rPr>
        <w:t xml:space="preserve">pour apprécier </w:t>
      </w:r>
      <w:r w:rsidR="00461F4F">
        <w:rPr>
          <w:rFonts w:ascii="Times New Roman" w:hAnsi="Times New Roman" w:cs="Times New Roman"/>
          <w:sz w:val="24"/>
          <w:szCs w:val="24"/>
        </w:rPr>
        <w:t xml:space="preserve">le caractère inclusif des populations, </w:t>
      </w:r>
      <w:r w:rsidR="00483822" w:rsidRPr="001A36DF">
        <w:rPr>
          <w:rFonts w:ascii="Times New Roman" w:hAnsi="Times New Roman" w:cs="Times New Roman"/>
          <w:sz w:val="24"/>
          <w:szCs w:val="24"/>
        </w:rPr>
        <w:t xml:space="preserve">les évolutions et le comportement des électeurs togolais au Nord et au Sud du Togo </w:t>
      </w:r>
      <w:r>
        <w:rPr>
          <w:rFonts w:ascii="Times New Roman" w:hAnsi="Times New Roman" w:cs="Times New Roman"/>
          <w:sz w:val="24"/>
          <w:szCs w:val="24"/>
        </w:rPr>
        <w:t xml:space="preserve">et le positionnement stratégiques des forces politiques </w:t>
      </w:r>
      <w:r w:rsidR="00483822" w:rsidRPr="001A36DF">
        <w:rPr>
          <w:rFonts w:ascii="Times New Roman" w:hAnsi="Times New Roman" w:cs="Times New Roman"/>
          <w:sz w:val="24"/>
          <w:szCs w:val="24"/>
        </w:rPr>
        <w:t>dans</w:t>
      </w:r>
      <w:r w:rsidR="00461F4F">
        <w:rPr>
          <w:rFonts w:ascii="Times New Roman" w:hAnsi="Times New Roman" w:cs="Times New Roman"/>
          <w:sz w:val="24"/>
          <w:szCs w:val="24"/>
        </w:rPr>
        <w:t xml:space="preserve"> la perspective</w:t>
      </w:r>
      <w:r w:rsidR="00483822" w:rsidRPr="001A36DF">
        <w:rPr>
          <w:rFonts w:ascii="Times New Roman" w:hAnsi="Times New Roman" w:cs="Times New Roman"/>
          <w:sz w:val="24"/>
          <w:szCs w:val="24"/>
        </w:rPr>
        <w:t xml:space="preserve"> des prochaines élections présidentielles de 2020</w:t>
      </w:r>
      <w:r w:rsidR="00483822" w:rsidRPr="001A36DF">
        <w:rPr>
          <w:rFonts w:ascii="Times New Roman" w:hAnsi="Times New Roman" w:cs="Times New Roman"/>
          <w:b/>
          <w:sz w:val="24"/>
          <w:szCs w:val="24"/>
        </w:rPr>
        <w:t>.</w:t>
      </w:r>
      <w:r w:rsidR="00483822" w:rsidRPr="00B67184">
        <w:rPr>
          <w:rFonts w:ascii="Times New Roman" w:hAnsi="Times New Roman" w:cs="Times New Roman"/>
          <w:b/>
          <w:sz w:val="24"/>
          <w:szCs w:val="24"/>
        </w:rPr>
        <w:t xml:space="preserve"> </w:t>
      </w:r>
    </w:p>
    <w:p w:rsidR="00824BBA" w:rsidRDefault="00D96216" w:rsidP="00D96216">
      <w:pPr>
        <w:ind w:left="4956" w:firstLine="708"/>
        <w:rPr>
          <w:b/>
        </w:rPr>
      </w:pPr>
      <w:r w:rsidRPr="00D96216">
        <w:rPr>
          <w:b/>
        </w:rPr>
        <w:t>Fait à Lomé le 1</w:t>
      </w:r>
      <w:r w:rsidRPr="00D96216">
        <w:rPr>
          <w:b/>
          <w:vertAlign w:val="superscript"/>
        </w:rPr>
        <w:t>er</w:t>
      </w:r>
      <w:r w:rsidRPr="00D96216">
        <w:rPr>
          <w:b/>
        </w:rPr>
        <w:t xml:space="preserve"> août 2019 à Lomé</w:t>
      </w:r>
    </w:p>
    <w:p w:rsidR="00461F4F" w:rsidRPr="00D96216" w:rsidRDefault="00F46A05" w:rsidP="00D96216">
      <w:pPr>
        <w:ind w:left="4956" w:firstLine="708"/>
        <w:rPr>
          <w:b/>
        </w:rPr>
      </w:pPr>
      <w:r>
        <w:rPr>
          <w:b/>
        </w:rPr>
        <w:t xml:space="preserve">Le Bureau </w:t>
      </w:r>
      <w:r w:rsidR="00461F4F">
        <w:rPr>
          <w:b/>
        </w:rPr>
        <w:t xml:space="preserve"> Exécutif de SADD</w:t>
      </w:r>
    </w:p>
    <w:sectPr w:rsidR="00461F4F" w:rsidRPr="00D96216" w:rsidSect="00F46A05">
      <w:foot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07" w:rsidRDefault="003A4907" w:rsidP="005D579A">
      <w:pPr>
        <w:spacing w:after="0" w:line="240" w:lineRule="auto"/>
      </w:pPr>
      <w:r>
        <w:separator/>
      </w:r>
    </w:p>
  </w:endnote>
  <w:endnote w:type="continuationSeparator" w:id="0">
    <w:p w:rsidR="003A4907" w:rsidRDefault="003A4907" w:rsidP="005D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334907"/>
      <w:docPartObj>
        <w:docPartGallery w:val="Page Numbers (Bottom of Page)"/>
        <w:docPartUnique/>
      </w:docPartObj>
    </w:sdtPr>
    <w:sdtEndPr/>
    <w:sdtContent>
      <w:p w:rsidR="00F46A05" w:rsidRDefault="00F46A05">
        <w:pPr>
          <w:pStyle w:val="Pieddepage"/>
          <w:jc w:val="right"/>
        </w:pPr>
        <w:r>
          <w:fldChar w:fldCharType="begin"/>
        </w:r>
        <w:r>
          <w:instrText>PAGE   \* MERGEFORMAT</w:instrText>
        </w:r>
        <w:r>
          <w:fldChar w:fldCharType="separate"/>
        </w:r>
        <w:r w:rsidR="00EE06C4">
          <w:rPr>
            <w:noProof/>
          </w:rPr>
          <w:t>7</w:t>
        </w:r>
        <w:r>
          <w:fldChar w:fldCharType="end"/>
        </w:r>
      </w:p>
    </w:sdtContent>
  </w:sdt>
  <w:p w:rsidR="00F46A05" w:rsidRDefault="00F46A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07" w:rsidRDefault="003A4907" w:rsidP="005D579A">
      <w:pPr>
        <w:spacing w:after="0" w:line="240" w:lineRule="auto"/>
      </w:pPr>
      <w:r>
        <w:separator/>
      </w:r>
    </w:p>
  </w:footnote>
  <w:footnote w:type="continuationSeparator" w:id="0">
    <w:p w:rsidR="003A4907" w:rsidRDefault="003A4907" w:rsidP="005D579A">
      <w:pPr>
        <w:spacing w:after="0" w:line="240" w:lineRule="auto"/>
      </w:pPr>
      <w:r>
        <w:continuationSeparator/>
      </w:r>
    </w:p>
  </w:footnote>
  <w:footnote w:id="1">
    <w:p w:rsidR="005D579A" w:rsidRPr="008E58E4" w:rsidRDefault="005D579A" w:rsidP="005D579A">
      <w:pPr>
        <w:pStyle w:val="Notedebasdepage"/>
        <w:rPr>
          <w:sz w:val="10"/>
        </w:rPr>
      </w:pPr>
      <w:r>
        <w:rPr>
          <w:rStyle w:val="Appelnotedebasdep"/>
        </w:rPr>
        <w:footnoteRef/>
      </w:r>
      <w:r>
        <w:t xml:space="preserve"> </w:t>
      </w:r>
      <w:r w:rsidRPr="008E58E4">
        <w:rPr>
          <w:rFonts w:eastAsia="Times New Roman" w:cstheme="minorHAnsi"/>
          <w:sz w:val="16"/>
          <w:szCs w:val="28"/>
          <w:lang w:eastAsia="fr-FR"/>
        </w:rPr>
        <w:t>Le CAR, la Coalition d</w:t>
      </w:r>
      <w:r>
        <w:rPr>
          <w:rFonts w:eastAsia="Times New Roman" w:cstheme="minorHAnsi"/>
          <w:sz w:val="16"/>
          <w:szCs w:val="28"/>
          <w:lang w:eastAsia="fr-FR"/>
        </w:rPr>
        <w:t>es partis de l’opposition (C14</w:t>
      </w:r>
      <w:r w:rsidRPr="008E58E4">
        <w:rPr>
          <w:rFonts w:eastAsia="Times New Roman" w:cstheme="minorHAnsi"/>
          <w:sz w:val="16"/>
          <w:szCs w:val="16"/>
          <w:lang w:eastAsia="fr-FR"/>
        </w:rPr>
        <w:t xml:space="preserve">), Le Mouvement </w:t>
      </w:r>
      <w:r>
        <w:rPr>
          <w:rFonts w:eastAsia="Times New Roman" w:cstheme="minorHAnsi"/>
          <w:sz w:val="16"/>
          <w:szCs w:val="16"/>
          <w:lang w:eastAsia="fr-FR"/>
        </w:rPr>
        <w:t>P</w:t>
      </w:r>
      <w:r w:rsidRPr="008E58E4">
        <w:rPr>
          <w:rFonts w:eastAsia="Times New Roman" w:cstheme="minorHAnsi"/>
          <w:sz w:val="16"/>
          <w:szCs w:val="16"/>
          <w:lang w:eastAsia="fr-FR"/>
        </w:rPr>
        <w:t xml:space="preserve">atriotique pour la </w:t>
      </w:r>
      <w:r>
        <w:rPr>
          <w:rFonts w:eastAsia="Times New Roman" w:cstheme="minorHAnsi"/>
          <w:sz w:val="16"/>
          <w:szCs w:val="16"/>
          <w:lang w:eastAsia="fr-FR"/>
        </w:rPr>
        <w:t>D</w:t>
      </w:r>
      <w:r w:rsidRPr="008E58E4">
        <w:rPr>
          <w:rFonts w:eastAsia="Times New Roman" w:cstheme="minorHAnsi"/>
          <w:sz w:val="16"/>
          <w:szCs w:val="16"/>
          <w:lang w:eastAsia="fr-FR"/>
        </w:rPr>
        <w:t xml:space="preserve">émocratie et le </w:t>
      </w:r>
      <w:r>
        <w:rPr>
          <w:rFonts w:eastAsia="Times New Roman" w:cstheme="minorHAnsi"/>
          <w:sz w:val="16"/>
          <w:szCs w:val="16"/>
          <w:lang w:eastAsia="fr-FR"/>
        </w:rPr>
        <w:t>D</w:t>
      </w:r>
      <w:r w:rsidRPr="008E58E4">
        <w:rPr>
          <w:rFonts w:eastAsia="Times New Roman" w:cstheme="minorHAnsi"/>
          <w:sz w:val="16"/>
          <w:szCs w:val="16"/>
          <w:lang w:eastAsia="fr-FR"/>
        </w:rPr>
        <w:t>éveloppement (MPDD)</w:t>
      </w:r>
      <w:r>
        <w:rPr>
          <w:rFonts w:eastAsia="Times New Roman" w:cstheme="minorHAnsi"/>
          <w:sz w:val="16"/>
          <w:szCs w:val="16"/>
          <w:lang w:eastAsia="fr-FR"/>
        </w:rPr>
        <w:t xml:space="preserve"> </w:t>
      </w:r>
    </w:p>
  </w:footnote>
  <w:footnote w:id="2">
    <w:p w:rsidR="005D579A" w:rsidRPr="008E58E4" w:rsidRDefault="005D579A" w:rsidP="005D579A">
      <w:pPr>
        <w:pStyle w:val="Notedebasdepage"/>
        <w:rPr>
          <w:sz w:val="2"/>
        </w:rPr>
      </w:pPr>
      <w:r>
        <w:rPr>
          <w:rStyle w:val="Appelnotedebasdep"/>
        </w:rPr>
        <w:footnoteRef/>
      </w:r>
      <w:r>
        <w:t xml:space="preserve"> </w:t>
      </w:r>
      <w:r w:rsidRPr="008E58E4">
        <w:rPr>
          <w:rFonts w:eastAsia="Times New Roman" w:cstheme="minorHAnsi"/>
          <w:bCs/>
          <w:sz w:val="16"/>
          <w:szCs w:val="28"/>
          <w:lang w:eastAsia="fr-FR"/>
        </w:rPr>
        <w:t>Le groupe des 06 organisations de la société civile</w:t>
      </w:r>
      <w:r w:rsidRPr="008E58E4">
        <w:rPr>
          <w:rFonts w:eastAsia="Times New Roman" w:cstheme="minorHAnsi"/>
          <w:b/>
          <w:bCs/>
          <w:sz w:val="16"/>
          <w:szCs w:val="28"/>
          <w:lang w:eastAsia="fr-FR"/>
        </w:rPr>
        <w:t xml:space="preserve"> </w:t>
      </w:r>
      <w:r w:rsidRPr="008E58E4">
        <w:rPr>
          <w:rFonts w:eastAsia="Times New Roman" w:cstheme="minorHAnsi"/>
          <w:sz w:val="16"/>
          <w:szCs w:val="28"/>
          <w:lang w:eastAsia="fr-FR"/>
        </w:rPr>
        <w:t xml:space="preserve">composé de l’ACAT- TOGO, de l’ATDPDH, du CEJP, du GRAD, </w:t>
      </w:r>
      <w:r>
        <w:rPr>
          <w:rFonts w:eastAsia="Times New Roman" w:cstheme="minorHAnsi"/>
          <w:sz w:val="16"/>
          <w:szCs w:val="28"/>
          <w:lang w:eastAsia="fr-FR"/>
        </w:rPr>
        <w:t>de SADD et du SYNPHOT ;</w:t>
      </w:r>
      <w:r w:rsidRPr="008E58E4">
        <w:rPr>
          <w:rFonts w:eastAsia="Times New Roman" w:cstheme="minorHAnsi"/>
          <w:spacing w:val="8"/>
          <w:kern w:val="36"/>
          <w:sz w:val="26"/>
          <w:szCs w:val="28"/>
          <w:lang w:eastAsia="fr-FR"/>
        </w:rPr>
        <w:t xml:space="preserve"> </w:t>
      </w:r>
      <w:r w:rsidRPr="008E58E4">
        <w:rPr>
          <w:rFonts w:eastAsia="Times New Roman" w:cstheme="minorHAnsi"/>
          <w:spacing w:val="8"/>
          <w:kern w:val="36"/>
          <w:sz w:val="16"/>
          <w:szCs w:val="28"/>
          <w:lang w:eastAsia="fr-FR"/>
        </w:rPr>
        <w:t>les Universités Sociales du Togo</w:t>
      </w:r>
      <w:r>
        <w:rPr>
          <w:rFonts w:eastAsia="Times New Roman" w:cstheme="minorHAnsi"/>
          <w:spacing w:val="8"/>
          <w:kern w:val="36"/>
          <w:sz w:val="16"/>
          <w:szCs w:val="28"/>
          <w:lang w:eastAsia="fr-F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pt;height:11.3pt" o:bullet="t">
        <v:imagedata r:id="rId1" o:title="mso32CB"/>
      </v:shape>
    </w:pict>
  </w:numPicBullet>
  <w:abstractNum w:abstractNumId="0">
    <w:nsid w:val="0E25608E"/>
    <w:multiLevelType w:val="hybridMultilevel"/>
    <w:tmpl w:val="221A84B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4606D8"/>
    <w:multiLevelType w:val="hybridMultilevel"/>
    <w:tmpl w:val="76FAF7D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F55E81"/>
    <w:multiLevelType w:val="hybridMultilevel"/>
    <w:tmpl w:val="361AD884"/>
    <w:lvl w:ilvl="0" w:tplc="1B2E00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9A"/>
    <w:rsid w:val="00014179"/>
    <w:rsid w:val="000B2588"/>
    <w:rsid w:val="002F4BEC"/>
    <w:rsid w:val="00321C84"/>
    <w:rsid w:val="003536C6"/>
    <w:rsid w:val="00371711"/>
    <w:rsid w:val="003A4907"/>
    <w:rsid w:val="003D5105"/>
    <w:rsid w:val="0044319D"/>
    <w:rsid w:val="00461F4F"/>
    <w:rsid w:val="00483822"/>
    <w:rsid w:val="005D579A"/>
    <w:rsid w:val="00623218"/>
    <w:rsid w:val="006D0CDC"/>
    <w:rsid w:val="0070213F"/>
    <w:rsid w:val="00796C3C"/>
    <w:rsid w:val="00824BBA"/>
    <w:rsid w:val="008C5AD4"/>
    <w:rsid w:val="008E4CE8"/>
    <w:rsid w:val="00981FD9"/>
    <w:rsid w:val="00A426EA"/>
    <w:rsid w:val="00A464A6"/>
    <w:rsid w:val="00B337E6"/>
    <w:rsid w:val="00C01036"/>
    <w:rsid w:val="00D96216"/>
    <w:rsid w:val="00E1281B"/>
    <w:rsid w:val="00E43728"/>
    <w:rsid w:val="00EB75BF"/>
    <w:rsid w:val="00EE06C4"/>
    <w:rsid w:val="00F46A05"/>
    <w:rsid w:val="00FA0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9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79A"/>
    <w:pPr>
      <w:ind w:left="720"/>
      <w:contextualSpacing/>
    </w:pPr>
  </w:style>
  <w:style w:type="table" w:styleId="Grilledutableau">
    <w:name w:val="Table Grid"/>
    <w:basedOn w:val="TableauNormal"/>
    <w:uiPriority w:val="59"/>
    <w:rsid w:val="005D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D57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579A"/>
    <w:rPr>
      <w:sz w:val="20"/>
      <w:szCs w:val="20"/>
    </w:rPr>
  </w:style>
  <w:style w:type="character" w:styleId="Appelnotedebasdep">
    <w:name w:val="footnote reference"/>
    <w:basedOn w:val="Policepardfaut"/>
    <w:uiPriority w:val="99"/>
    <w:semiHidden/>
    <w:unhideWhenUsed/>
    <w:rsid w:val="005D579A"/>
    <w:rPr>
      <w:vertAlign w:val="superscript"/>
    </w:rPr>
  </w:style>
  <w:style w:type="paragraph" w:styleId="Pieddepage">
    <w:name w:val="footer"/>
    <w:basedOn w:val="Normal"/>
    <w:link w:val="PieddepageCar"/>
    <w:uiPriority w:val="99"/>
    <w:unhideWhenUsed/>
    <w:rsid w:val="00F46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A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79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79A"/>
    <w:pPr>
      <w:ind w:left="720"/>
      <w:contextualSpacing/>
    </w:pPr>
  </w:style>
  <w:style w:type="table" w:styleId="Grilledutableau">
    <w:name w:val="Table Grid"/>
    <w:basedOn w:val="TableauNormal"/>
    <w:uiPriority w:val="59"/>
    <w:rsid w:val="005D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D57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579A"/>
    <w:rPr>
      <w:sz w:val="20"/>
      <w:szCs w:val="20"/>
    </w:rPr>
  </w:style>
  <w:style w:type="character" w:styleId="Appelnotedebasdep">
    <w:name w:val="footnote reference"/>
    <w:basedOn w:val="Policepardfaut"/>
    <w:uiPriority w:val="99"/>
    <w:semiHidden/>
    <w:unhideWhenUsed/>
    <w:rsid w:val="005D579A"/>
    <w:rPr>
      <w:vertAlign w:val="superscript"/>
    </w:rPr>
  </w:style>
  <w:style w:type="paragraph" w:styleId="Pieddepage">
    <w:name w:val="footer"/>
    <w:basedOn w:val="Normal"/>
    <w:link w:val="PieddepageCar"/>
    <w:uiPriority w:val="99"/>
    <w:unhideWhenUsed/>
    <w:rsid w:val="00F46A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3219</Words>
  <Characters>17708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dc:creator>
  <cp:lastModifiedBy>SADD</cp:lastModifiedBy>
  <cp:revision>3</cp:revision>
  <dcterms:created xsi:type="dcterms:W3CDTF">2019-08-02T12:23:00Z</dcterms:created>
  <dcterms:modified xsi:type="dcterms:W3CDTF">2019-08-02T12:53:00Z</dcterms:modified>
</cp:coreProperties>
</file>